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651BB" w14:textId="21052D3E" w:rsidR="00EA0F0F" w:rsidRPr="00EA0F0F" w:rsidRDefault="00EA0F0F" w:rsidP="00EA0F0F">
      <w:pPr>
        <w:jc w:val="center"/>
        <w:rPr>
          <w:rFonts w:ascii="Times" w:hAnsi="Times" w:cs="Times New Roman"/>
          <w:sz w:val="20"/>
          <w:szCs w:val="20"/>
        </w:rPr>
      </w:pPr>
      <w:r w:rsidRPr="00EA0F0F">
        <w:rPr>
          <w:rFonts w:ascii="Times" w:hAnsi="Times" w:cs="Times New Roman"/>
          <w:sz w:val="20"/>
          <w:szCs w:val="20"/>
        </w:rPr>
        <w:t> </w:t>
      </w:r>
    </w:p>
    <w:p w14:paraId="203A47E8" w14:textId="1665229A" w:rsidR="00EA0F0F" w:rsidRPr="00EA0F0F" w:rsidRDefault="00EA0F0F" w:rsidP="00EA0F0F">
      <w:pPr>
        <w:spacing w:after="240"/>
        <w:jc w:val="center"/>
        <w:rPr>
          <w:rFonts w:ascii="Times" w:hAnsi="Times" w:cs="Times New Roman"/>
          <w:sz w:val="20"/>
          <w:szCs w:val="20"/>
        </w:rPr>
      </w:pPr>
      <w:r w:rsidRPr="00EA0F0F">
        <w:rPr>
          <w:rFonts w:ascii="Cambria" w:hAnsi="Cambria" w:cs="Times New Roman"/>
          <w:b/>
          <w:bCs/>
          <w:color w:val="000000"/>
          <w:sz w:val="32"/>
          <w:szCs w:val="32"/>
        </w:rPr>
        <w:t xml:space="preserve">Apontamentos críticos dos modelos de Relações Públicas excelentes no maior </w:t>
      </w:r>
      <w:r w:rsidR="00E97C84">
        <w:rPr>
          <w:rFonts w:ascii="Cambria" w:hAnsi="Cambria" w:cs="Times New Roman"/>
          <w:b/>
          <w:bCs/>
          <w:color w:val="000000"/>
          <w:sz w:val="32"/>
          <w:szCs w:val="32"/>
        </w:rPr>
        <w:t>desastre</w:t>
      </w:r>
      <w:r w:rsidR="00E97C84" w:rsidRPr="00EA0F0F">
        <w:rPr>
          <w:rFonts w:ascii="Cambria" w:hAnsi="Cambria" w:cs="Times New Roman"/>
          <w:b/>
          <w:bCs/>
          <w:color w:val="000000"/>
          <w:sz w:val="32"/>
          <w:szCs w:val="32"/>
        </w:rPr>
        <w:t xml:space="preserve"> </w:t>
      </w:r>
      <w:r w:rsidRPr="00EA0F0F">
        <w:rPr>
          <w:rFonts w:ascii="Cambria" w:hAnsi="Cambria" w:cs="Times New Roman"/>
          <w:b/>
          <w:bCs/>
          <w:color w:val="000000"/>
          <w:sz w:val="32"/>
          <w:szCs w:val="32"/>
        </w:rPr>
        <w:t>ambiental do Brasil</w:t>
      </w:r>
      <w:r w:rsidRPr="00EA0F0F">
        <w:rPr>
          <w:rFonts w:ascii="Cambria" w:hAnsi="Cambria" w:cs="Times New Roman"/>
          <w:b/>
          <w:bCs/>
          <w:color w:val="000000"/>
          <w:sz w:val="32"/>
          <w:szCs w:val="32"/>
        </w:rPr>
        <w:br/>
      </w:r>
    </w:p>
    <w:p w14:paraId="76E54201" w14:textId="3F9419A6" w:rsidR="00EA0F0F" w:rsidRPr="00EA0F0F" w:rsidRDefault="00EA0F0F" w:rsidP="00EA0F0F">
      <w:pPr>
        <w:jc w:val="center"/>
        <w:rPr>
          <w:rFonts w:ascii="Times" w:hAnsi="Times" w:cs="Times New Roman"/>
          <w:sz w:val="20"/>
          <w:szCs w:val="20"/>
        </w:rPr>
      </w:pPr>
      <w:r w:rsidRPr="00EA0F0F">
        <w:rPr>
          <w:rFonts w:ascii="Cambria" w:hAnsi="Cambria" w:cs="Times New Roman"/>
          <w:color w:val="212121"/>
          <w:sz w:val="32"/>
          <w:szCs w:val="32"/>
          <w:shd w:val="clear" w:color="auto" w:fill="FFFFFF"/>
        </w:rPr>
        <w:t xml:space="preserve">Critical notes of excellent Public Relations models in Brazil's biggest environmental </w:t>
      </w:r>
      <w:r w:rsidR="00E97C84" w:rsidRPr="00E97C84">
        <w:rPr>
          <w:rFonts w:ascii="Cambria" w:hAnsi="Cambria" w:cs="Times New Roman"/>
          <w:color w:val="212121"/>
          <w:sz w:val="32"/>
          <w:szCs w:val="32"/>
          <w:shd w:val="clear" w:color="auto" w:fill="FFFFFF"/>
        </w:rPr>
        <w:t>disaster</w:t>
      </w:r>
    </w:p>
    <w:p w14:paraId="54221F71" w14:textId="77777777" w:rsidR="00EA0F0F" w:rsidRPr="00EA0F0F" w:rsidRDefault="00EA0F0F" w:rsidP="00EA0F0F">
      <w:pPr>
        <w:spacing w:after="240"/>
        <w:jc w:val="center"/>
        <w:rPr>
          <w:rFonts w:ascii="Times" w:hAnsi="Times" w:cs="Times New Roman"/>
          <w:sz w:val="20"/>
          <w:szCs w:val="20"/>
        </w:rPr>
      </w:pPr>
      <w:r w:rsidRPr="00EA0F0F">
        <w:rPr>
          <w:rFonts w:ascii="Times" w:hAnsi="Times" w:cs="Times New Roman"/>
          <w:sz w:val="20"/>
          <w:szCs w:val="20"/>
        </w:rPr>
        <w:t> </w:t>
      </w:r>
    </w:p>
    <w:p w14:paraId="3C1D0E4A" w14:textId="77777777" w:rsidR="00EA0F0F" w:rsidRPr="00EA0F0F" w:rsidRDefault="00EA0F0F" w:rsidP="00EA0F0F">
      <w:pPr>
        <w:jc w:val="center"/>
        <w:rPr>
          <w:rFonts w:ascii="Times" w:hAnsi="Times" w:cs="Times New Roman"/>
          <w:sz w:val="20"/>
          <w:szCs w:val="20"/>
        </w:rPr>
      </w:pPr>
      <w:r w:rsidRPr="00EA0F0F">
        <w:rPr>
          <w:rFonts w:ascii="Times" w:hAnsi="Times" w:cs="Times New Roman"/>
          <w:sz w:val="20"/>
          <w:szCs w:val="20"/>
        </w:rPr>
        <w:t> </w:t>
      </w:r>
    </w:p>
    <w:p w14:paraId="41B9F75D" w14:textId="3B06D5BE" w:rsidR="00EA0F0F" w:rsidRPr="00EA0F0F" w:rsidRDefault="00EA0F0F" w:rsidP="00EA0F0F">
      <w:pPr>
        <w:jc w:val="center"/>
        <w:rPr>
          <w:rFonts w:ascii="Times" w:hAnsi="Times" w:cs="Times New Roman"/>
          <w:sz w:val="20"/>
          <w:szCs w:val="20"/>
        </w:rPr>
      </w:pPr>
      <w:r w:rsidRPr="00EA0F0F">
        <w:rPr>
          <w:rFonts w:ascii="Calibri" w:hAnsi="Calibri" w:cs="Times New Roman"/>
          <w:color w:val="000000"/>
        </w:rPr>
        <w:t>Fábia Pereira Lima</w:t>
      </w:r>
      <w:r w:rsidR="00211CB7">
        <w:rPr>
          <w:rStyle w:val="Refdenotaalpie"/>
          <w:rFonts w:ascii="Calibri" w:hAnsi="Calibri" w:cs="Times New Roman"/>
          <w:color w:val="000000"/>
        </w:rPr>
        <w:footnoteReference w:id="1"/>
      </w:r>
      <w:r w:rsidRPr="00EA0F0F">
        <w:rPr>
          <w:rFonts w:ascii="Calibri" w:hAnsi="Calibri" w:cs="Times New Roman"/>
          <w:color w:val="000000"/>
        </w:rPr>
        <w:t xml:space="preserve"> </w:t>
      </w:r>
    </w:p>
    <w:p w14:paraId="069E2354" w14:textId="5AEBC972" w:rsidR="00703423" w:rsidRDefault="00E30A13" w:rsidP="00EA0F0F">
      <w:pPr>
        <w:jc w:val="center"/>
        <w:rPr>
          <w:rFonts w:ascii="Calibri" w:hAnsi="Calibri" w:cs="Times New Roman"/>
          <w:color w:val="000000"/>
        </w:rPr>
      </w:pPr>
      <w:hyperlink r:id="rId7" w:history="1">
        <w:r w:rsidR="00703423" w:rsidRPr="00B477CA">
          <w:rPr>
            <w:rStyle w:val="Hipervnculo"/>
            <w:rFonts w:ascii="Calibri" w:hAnsi="Calibri" w:cs="Times New Roman"/>
          </w:rPr>
          <w:t>fabialima@ufmg.br</w:t>
        </w:r>
      </w:hyperlink>
    </w:p>
    <w:p w14:paraId="1A7E9D8B" w14:textId="53E7D3EE" w:rsidR="00EA0F0F" w:rsidRDefault="00EA0F0F" w:rsidP="00EA0F0F">
      <w:pPr>
        <w:jc w:val="center"/>
        <w:rPr>
          <w:rFonts w:ascii="Calibri" w:hAnsi="Calibri" w:cs="Times New Roman"/>
          <w:color w:val="000000"/>
        </w:rPr>
      </w:pPr>
      <w:r w:rsidRPr="00EA0F0F">
        <w:rPr>
          <w:rFonts w:ascii="Calibri" w:hAnsi="Calibri" w:cs="Times New Roman"/>
          <w:color w:val="000000"/>
        </w:rPr>
        <w:t>Universidade Fed</w:t>
      </w:r>
      <w:r w:rsidR="00703423">
        <w:rPr>
          <w:rFonts w:ascii="Calibri" w:hAnsi="Calibri" w:cs="Times New Roman"/>
          <w:color w:val="000000"/>
        </w:rPr>
        <w:t>eral de Minas Gerais, UFMG, Braz</w:t>
      </w:r>
      <w:r w:rsidRPr="00EA0F0F">
        <w:rPr>
          <w:rFonts w:ascii="Calibri" w:hAnsi="Calibri" w:cs="Times New Roman"/>
          <w:color w:val="000000"/>
        </w:rPr>
        <w:t>il</w:t>
      </w:r>
    </w:p>
    <w:p w14:paraId="45E47538" w14:textId="77777777" w:rsidR="005163D8" w:rsidRDefault="005163D8" w:rsidP="00EA0F0F">
      <w:pPr>
        <w:jc w:val="center"/>
        <w:rPr>
          <w:rFonts w:ascii="Calibri" w:hAnsi="Calibri" w:cs="Times New Roman"/>
          <w:color w:val="000000"/>
        </w:rPr>
      </w:pPr>
    </w:p>
    <w:p w14:paraId="6871B1B2" w14:textId="77777777" w:rsidR="005163D8" w:rsidRDefault="005163D8" w:rsidP="00EA0F0F">
      <w:pPr>
        <w:jc w:val="center"/>
        <w:rPr>
          <w:rFonts w:ascii="Calibri" w:hAnsi="Calibri" w:cs="Times New Roman"/>
          <w:color w:val="000000"/>
        </w:rPr>
      </w:pPr>
    </w:p>
    <w:p w14:paraId="52A9D083" w14:textId="77777777" w:rsidR="00B464A5" w:rsidRDefault="00B464A5" w:rsidP="00EA0F0F">
      <w:pPr>
        <w:jc w:val="center"/>
        <w:rPr>
          <w:rFonts w:ascii="Calibri" w:hAnsi="Calibri" w:cs="Times New Roman"/>
          <w:color w:val="000000"/>
        </w:rPr>
      </w:pPr>
    </w:p>
    <w:p w14:paraId="0A3A0A57" w14:textId="6F4865E4" w:rsidR="005163D8" w:rsidRPr="005163D8" w:rsidRDefault="00A94DFA" w:rsidP="005163D8">
      <w:pPr>
        <w:jc w:val="center"/>
        <w:rPr>
          <w:rFonts w:ascii="Calibri" w:eastAsia="Calibri" w:hAnsi="Calibri" w:cs="Times New Roman"/>
          <w:sz w:val="22"/>
          <w:szCs w:val="22"/>
        </w:rPr>
      </w:pPr>
      <w:r>
        <w:rPr>
          <w:rFonts w:ascii="Calibri" w:eastAsia="Calibri" w:hAnsi="Calibri" w:cs="Times New Roman"/>
          <w:sz w:val="22"/>
          <w:szCs w:val="22"/>
        </w:rPr>
        <w:t>Recepción: 08/03</w:t>
      </w:r>
      <w:r w:rsidR="005163D8" w:rsidRPr="005163D8">
        <w:rPr>
          <w:rFonts w:ascii="Calibri" w:eastAsia="Calibri" w:hAnsi="Calibri" w:cs="Times New Roman"/>
          <w:sz w:val="22"/>
          <w:szCs w:val="22"/>
        </w:rPr>
        <w:t>/</w:t>
      </w:r>
      <w:r>
        <w:rPr>
          <w:rFonts w:ascii="Calibri" w:eastAsia="Calibri" w:hAnsi="Calibri" w:cs="Times New Roman"/>
          <w:sz w:val="22"/>
          <w:szCs w:val="22"/>
        </w:rPr>
        <w:t>2017</w:t>
      </w:r>
      <w:r w:rsidR="00C22214">
        <w:rPr>
          <w:rFonts w:ascii="Calibri" w:eastAsia="Calibri" w:hAnsi="Calibri" w:cs="Times New Roman"/>
          <w:sz w:val="22"/>
          <w:szCs w:val="22"/>
        </w:rPr>
        <w:t xml:space="preserve">   Revisión: 05/06</w:t>
      </w:r>
      <w:r>
        <w:rPr>
          <w:rFonts w:ascii="Calibri" w:eastAsia="Calibri" w:hAnsi="Calibri" w:cs="Times New Roman"/>
          <w:sz w:val="22"/>
          <w:szCs w:val="22"/>
        </w:rPr>
        <w:t>/2017</w:t>
      </w:r>
      <w:r w:rsidR="005163D8" w:rsidRPr="005163D8">
        <w:rPr>
          <w:rFonts w:ascii="Calibri" w:eastAsia="Calibri" w:hAnsi="Calibri" w:cs="Times New Roman"/>
          <w:sz w:val="22"/>
          <w:szCs w:val="22"/>
        </w:rPr>
        <w:t xml:space="preserve">   Aceptac</w:t>
      </w:r>
      <w:r w:rsidR="002A181A">
        <w:rPr>
          <w:rFonts w:ascii="Calibri" w:eastAsia="Calibri" w:hAnsi="Calibri" w:cs="Times New Roman"/>
          <w:sz w:val="22"/>
          <w:szCs w:val="22"/>
        </w:rPr>
        <w:t>ión: 06</w:t>
      </w:r>
      <w:r>
        <w:rPr>
          <w:rFonts w:ascii="Calibri" w:eastAsia="Calibri" w:hAnsi="Calibri" w:cs="Times New Roman"/>
          <w:sz w:val="22"/>
          <w:szCs w:val="22"/>
        </w:rPr>
        <w:t>/06/2017  Publicación: 20/06/2017</w:t>
      </w:r>
    </w:p>
    <w:p w14:paraId="6FAB6992" w14:textId="3DFE385B" w:rsidR="005163D8" w:rsidRPr="005163D8" w:rsidRDefault="005163D8" w:rsidP="005163D8">
      <w:pPr>
        <w:jc w:val="center"/>
        <w:rPr>
          <w:rFonts w:ascii="Calibri" w:eastAsia="Times New Roman" w:hAnsi="Calibri" w:cs="Times New Roman"/>
          <w:b/>
          <w:bCs/>
          <w:lang w:val="en-US" w:eastAsia="pt-BR"/>
        </w:rPr>
      </w:pPr>
      <w:r w:rsidRPr="005163D8">
        <w:rPr>
          <w:rFonts w:ascii="Calibri" w:eastAsia="Times New Roman" w:hAnsi="Calibri" w:cs="Times New Roman"/>
          <w:color w:val="0000FF"/>
          <w:u w:val="single"/>
          <w:lang w:eastAsia="pt-BR"/>
        </w:rPr>
        <w:t>http://dx.doi.org/</w:t>
      </w:r>
    </w:p>
    <w:p w14:paraId="6CBAD706" w14:textId="77777777" w:rsidR="005163D8" w:rsidRPr="00EA0F0F" w:rsidRDefault="005163D8" w:rsidP="00EA0F0F">
      <w:pPr>
        <w:jc w:val="center"/>
        <w:rPr>
          <w:rFonts w:ascii="Times" w:hAnsi="Times" w:cs="Times New Roman"/>
          <w:sz w:val="20"/>
          <w:szCs w:val="20"/>
        </w:rPr>
      </w:pPr>
    </w:p>
    <w:p w14:paraId="066EABA6" w14:textId="77777777" w:rsidR="00EA0F0F" w:rsidRPr="00EA0F0F" w:rsidRDefault="00EA0F0F" w:rsidP="00EA0F0F">
      <w:pPr>
        <w:jc w:val="center"/>
        <w:rPr>
          <w:rFonts w:ascii="Times" w:hAnsi="Times" w:cs="Times New Roman"/>
          <w:sz w:val="20"/>
          <w:szCs w:val="20"/>
        </w:rPr>
      </w:pPr>
      <w:r w:rsidRPr="00EA0F0F">
        <w:rPr>
          <w:rFonts w:ascii="Times" w:hAnsi="Times" w:cs="Times New Roman"/>
          <w:sz w:val="20"/>
          <w:szCs w:val="20"/>
        </w:rPr>
        <w:t> </w:t>
      </w:r>
    </w:p>
    <w:p w14:paraId="5EBBC416" w14:textId="77777777" w:rsidR="00EA0F0F" w:rsidRPr="00EA0F0F" w:rsidRDefault="00EA0F0F" w:rsidP="00EA0F0F">
      <w:pPr>
        <w:spacing w:after="240"/>
        <w:jc w:val="both"/>
        <w:rPr>
          <w:rFonts w:ascii="Times" w:hAnsi="Times" w:cs="Times New Roman"/>
          <w:sz w:val="20"/>
          <w:szCs w:val="20"/>
        </w:rPr>
      </w:pPr>
      <w:r w:rsidRPr="00EA0F0F">
        <w:rPr>
          <w:rFonts w:ascii="Calibri" w:hAnsi="Calibri" w:cs="Times New Roman"/>
          <w:b/>
          <w:bCs/>
          <w:color w:val="000000"/>
        </w:rPr>
        <w:t>Resumo</w:t>
      </w:r>
    </w:p>
    <w:p w14:paraId="645E7674" w14:textId="51022940" w:rsidR="00EA0F0F" w:rsidRPr="00EA0F0F" w:rsidRDefault="00EA0F0F" w:rsidP="00EA0F0F">
      <w:pPr>
        <w:spacing w:after="240"/>
        <w:ind w:left="-8"/>
        <w:jc w:val="both"/>
        <w:rPr>
          <w:rFonts w:ascii="Times" w:hAnsi="Times" w:cs="Times New Roman"/>
          <w:sz w:val="20"/>
          <w:szCs w:val="20"/>
        </w:rPr>
      </w:pPr>
      <w:r w:rsidRPr="00EA0F0F">
        <w:rPr>
          <w:rFonts w:ascii="Calibri" w:hAnsi="Calibri" w:cs="Times New Roman"/>
          <w:color w:val="000000"/>
        </w:rPr>
        <w:t xml:space="preserve">O presente artigo tem como objetivo refletir de maneira crítica sobre o modelo ideal normativo hegemônico das Relações Públicas, o simétrico de mão dupla, proposto por Grunig e Hunt (1984), buscando observar </w:t>
      </w:r>
      <w:r w:rsidR="00D027F2">
        <w:rPr>
          <w:rFonts w:ascii="Calibri" w:hAnsi="Calibri" w:cs="Times New Roman"/>
          <w:color w:val="000000"/>
        </w:rPr>
        <w:t>como</w:t>
      </w:r>
      <w:r w:rsidRPr="00EA0F0F">
        <w:rPr>
          <w:rFonts w:ascii="Calibri" w:hAnsi="Calibri" w:cs="Times New Roman"/>
          <w:color w:val="000000"/>
        </w:rPr>
        <w:t xml:space="preserve"> </w:t>
      </w:r>
      <w:r w:rsidR="00D027F2">
        <w:rPr>
          <w:rFonts w:ascii="Calibri" w:hAnsi="Calibri" w:cs="Times New Roman"/>
          <w:color w:val="000000"/>
        </w:rPr>
        <w:t>a chamada teoria da excelência</w:t>
      </w:r>
      <w:r w:rsidRPr="00EA0F0F">
        <w:rPr>
          <w:rFonts w:ascii="Calibri" w:hAnsi="Calibri" w:cs="Times New Roman"/>
          <w:color w:val="000000"/>
        </w:rPr>
        <w:t xml:space="preserve"> </w:t>
      </w:r>
      <w:r w:rsidR="00D027F2">
        <w:rPr>
          <w:rFonts w:ascii="Calibri" w:hAnsi="Calibri" w:cs="Times New Roman"/>
          <w:color w:val="000000"/>
        </w:rPr>
        <w:t>pode ser</w:t>
      </w:r>
      <w:r w:rsidRPr="00EA0F0F">
        <w:rPr>
          <w:rFonts w:ascii="Calibri" w:hAnsi="Calibri" w:cs="Times New Roman"/>
          <w:color w:val="000000"/>
        </w:rPr>
        <w:t xml:space="preserve"> </w:t>
      </w:r>
      <w:r w:rsidR="00D027F2" w:rsidRPr="00EA0F0F">
        <w:rPr>
          <w:rFonts w:ascii="Calibri" w:hAnsi="Calibri" w:cs="Times New Roman"/>
          <w:color w:val="000000"/>
        </w:rPr>
        <w:t>utilizad</w:t>
      </w:r>
      <w:r w:rsidR="00D027F2">
        <w:rPr>
          <w:rFonts w:ascii="Calibri" w:hAnsi="Calibri" w:cs="Times New Roman"/>
          <w:color w:val="000000"/>
        </w:rPr>
        <w:t>a</w:t>
      </w:r>
      <w:r w:rsidR="00D027F2" w:rsidRPr="00EA0F0F">
        <w:rPr>
          <w:rFonts w:ascii="Calibri" w:hAnsi="Calibri" w:cs="Times New Roman"/>
          <w:color w:val="000000"/>
        </w:rPr>
        <w:t xml:space="preserve"> </w:t>
      </w:r>
      <w:r w:rsidRPr="00EA0F0F">
        <w:rPr>
          <w:rFonts w:ascii="Calibri" w:hAnsi="Calibri" w:cs="Times New Roman"/>
          <w:color w:val="000000"/>
        </w:rPr>
        <w:t xml:space="preserve">para legitimar ações de comunicação </w:t>
      </w:r>
      <w:r>
        <w:rPr>
          <w:rFonts w:ascii="Calibri" w:hAnsi="Calibri" w:cs="Times New Roman"/>
          <w:color w:val="000000"/>
        </w:rPr>
        <w:t xml:space="preserve">das </w:t>
      </w:r>
      <w:r w:rsidRPr="00EA0F0F">
        <w:rPr>
          <w:rFonts w:ascii="Calibri" w:hAnsi="Calibri" w:cs="Times New Roman"/>
          <w:color w:val="000000"/>
        </w:rPr>
        <w:t>organiza</w:t>
      </w:r>
      <w:r>
        <w:rPr>
          <w:rFonts w:ascii="Calibri" w:hAnsi="Calibri" w:cs="Times New Roman"/>
          <w:color w:val="000000"/>
        </w:rPr>
        <w:t>ções</w:t>
      </w:r>
      <w:r w:rsidRPr="00EA0F0F">
        <w:rPr>
          <w:rFonts w:ascii="Calibri" w:hAnsi="Calibri" w:cs="Times New Roman"/>
          <w:color w:val="000000"/>
        </w:rPr>
        <w:t xml:space="preserve">, escamoteando as forças persuasivas, as assimetrias e os jogos de coerção que fazem parte de suas práticas. Como objeto empírico será utilizado o caso do maior </w:t>
      </w:r>
      <w:r w:rsidR="00E97C84">
        <w:rPr>
          <w:rFonts w:ascii="Calibri" w:hAnsi="Calibri" w:cs="Times New Roman"/>
          <w:color w:val="000000"/>
        </w:rPr>
        <w:t>desastre</w:t>
      </w:r>
      <w:r w:rsidRPr="00EA0F0F">
        <w:rPr>
          <w:rFonts w:ascii="Calibri" w:hAnsi="Calibri" w:cs="Times New Roman"/>
          <w:color w:val="000000"/>
        </w:rPr>
        <w:t xml:space="preserve"> ambiental do Brasil, originado com o rompimento de uma das barragens de rejeitos (Fundão) da Samarco Mineração S.A., ocorrido em 5 de novembro de 2015 no município de Mariana, Estado de Minas Gerais. Este acontecimento afetou uma enorme região às margens do Rio Doce, ocasionando impactos pessoais, sociais, ambientais e econômicos, evidenciando questões fundamentais à prática das Relações Públicas e da comunicação no contexto organizacional contemporâneo.</w:t>
      </w:r>
    </w:p>
    <w:p w14:paraId="16F320A7" w14:textId="77777777" w:rsidR="00EA0F0F" w:rsidRPr="00EA0F0F" w:rsidRDefault="00EA0F0F" w:rsidP="00EA0F0F">
      <w:pPr>
        <w:ind w:left="-8"/>
        <w:jc w:val="both"/>
        <w:rPr>
          <w:rFonts w:ascii="Times" w:hAnsi="Times" w:cs="Times New Roman"/>
          <w:sz w:val="20"/>
          <w:szCs w:val="20"/>
        </w:rPr>
      </w:pPr>
      <w:r w:rsidRPr="00EA0F0F">
        <w:rPr>
          <w:rFonts w:ascii="Times" w:hAnsi="Times" w:cs="Times New Roman"/>
          <w:sz w:val="20"/>
          <w:szCs w:val="20"/>
        </w:rPr>
        <w:t> </w:t>
      </w:r>
    </w:p>
    <w:p w14:paraId="08385859" w14:textId="77777777" w:rsidR="00EA0F0F" w:rsidRPr="00EA0F0F" w:rsidRDefault="00EA0F0F" w:rsidP="00EA0F0F">
      <w:pPr>
        <w:jc w:val="both"/>
        <w:rPr>
          <w:rFonts w:ascii="Times" w:hAnsi="Times" w:cs="Times New Roman"/>
          <w:sz w:val="20"/>
          <w:szCs w:val="20"/>
        </w:rPr>
      </w:pPr>
      <w:r w:rsidRPr="00EA0F0F">
        <w:rPr>
          <w:rFonts w:ascii="Calibri" w:hAnsi="Calibri" w:cs="Times New Roman"/>
          <w:b/>
          <w:bCs/>
          <w:color w:val="000000"/>
        </w:rPr>
        <w:t xml:space="preserve">Palavras-chave: </w:t>
      </w:r>
      <w:r w:rsidRPr="00EA0F0F">
        <w:rPr>
          <w:rFonts w:ascii="Calibri" w:hAnsi="Calibri" w:cs="Times New Roman"/>
          <w:color w:val="000000"/>
        </w:rPr>
        <w:t>Comunicação Organizacional, Relações Públicas Excelentes, Modelos de Relações Públicas, rompimento de barragem, mineração.</w:t>
      </w:r>
    </w:p>
    <w:p w14:paraId="35774239" w14:textId="77777777" w:rsidR="00830674" w:rsidRDefault="00830674" w:rsidP="00EA0F0F">
      <w:pPr>
        <w:spacing w:after="240"/>
        <w:jc w:val="both"/>
        <w:rPr>
          <w:rFonts w:ascii="Calibri" w:hAnsi="Calibri" w:cs="Times New Roman"/>
          <w:b/>
          <w:bCs/>
          <w:color w:val="000000"/>
        </w:rPr>
      </w:pPr>
    </w:p>
    <w:p w14:paraId="74A21237" w14:textId="77777777" w:rsidR="00EA0F0F" w:rsidRPr="00EA0F0F" w:rsidRDefault="00EA0F0F" w:rsidP="00EA0F0F">
      <w:pPr>
        <w:spacing w:after="240"/>
        <w:jc w:val="both"/>
        <w:rPr>
          <w:rFonts w:ascii="Times" w:hAnsi="Times" w:cs="Times New Roman"/>
          <w:sz w:val="20"/>
          <w:szCs w:val="20"/>
        </w:rPr>
      </w:pPr>
      <w:r w:rsidRPr="00EA0F0F">
        <w:rPr>
          <w:rFonts w:ascii="Calibri" w:hAnsi="Calibri" w:cs="Times New Roman"/>
          <w:b/>
          <w:bCs/>
          <w:color w:val="000000"/>
        </w:rPr>
        <w:t xml:space="preserve">Abstract </w:t>
      </w:r>
    </w:p>
    <w:p w14:paraId="08A1B78D" w14:textId="3DDA7DB8" w:rsidR="00E420A0" w:rsidRPr="00EA0F0F" w:rsidRDefault="00EA0F0F" w:rsidP="00E420A0">
      <w:pPr>
        <w:spacing w:after="240"/>
        <w:jc w:val="both"/>
        <w:rPr>
          <w:rFonts w:ascii="Times" w:hAnsi="Times" w:cs="Times New Roman"/>
          <w:sz w:val="20"/>
          <w:szCs w:val="20"/>
        </w:rPr>
      </w:pPr>
      <w:r w:rsidRPr="00EA0F0F">
        <w:rPr>
          <w:rFonts w:ascii="Calibri" w:hAnsi="Calibri" w:cs="Times New Roman"/>
          <w:color w:val="000000"/>
        </w:rPr>
        <w:t xml:space="preserve">The present article aims to </w:t>
      </w:r>
      <w:r w:rsidR="00A631DE" w:rsidRPr="00EA0F0F">
        <w:rPr>
          <w:rFonts w:ascii="Calibri" w:hAnsi="Calibri" w:cs="Times New Roman"/>
          <w:color w:val="000000"/>
        </w:rPr>
        <w:t xml:space="preserve">critically </w:t>
      </w:r>
      <w:r w:rsidRPr="00EA0F0F">
        <w:rPr>
          <w:rFonts w:ascii="Calibri" w:hAnsi="Calibri" w:cs="Times New Roman"/>
          <w:color w:val="000000"/>
        </w:rPr>
        <w:t xml:space="preserve">reflect about the ideal hegemonic normative models of Public Relations, the symmetric double-handed model proposed by Grunig and Hunt (1984), observing how </w:t>
      </w:r>
      <w:r w:rsidR="00A631DE" w:rsidRPr="00EA0F0F">
        <w:rPr>
          <w:rFonts w:ascii="Calibri" w:hAnsi="Calibri" w:cs="Times New Roman"/>
          <w:color w:val="000000"/>
        </w:rPr>
        <w:t>th</w:t>
      </w:r>
      <w:r w:rsidR="00A631DE">
        <w:rPr>
          <w:rFonts w:ascii="Calibri" w:hAnsi="Calibri" w:cs="Times New Roman"/>
          <w:color w:val="000000"/>
        </w:rPr>
        <w:t>e</w:t>
      </w:r>
      <w:r w:rsidR="00A631DE" w:rsidRPr="005E707B">
        <w:rPr>
          <w:rFonts w:ascii="Calibri" w:hAnsi="Calibri" w:cs="Times New Roman"/>
          <w:i/>
          <w:color w:val="000000"/>
        </w:rPr>
        <w:t xml:space="preserve"> theory</w:t>
      </w:r>
      <w:r w:rsidR="00CA375C">
        <w:rPr>
          <w:rFonts w:ascii="Calibri" w:hAnsi="Calibri" w:cs="Times New Roman"/>
          <w:i/>
          <w:color w:val="000000"/>
        </w:rPr>
        <w:t xml:space="preserve"> of excelence in public relations</w:t>
      </w:r>
      <w:r w:rsidR="00A631DE" w:rsidRPr="00EA0F0F">
        <w:rPr>
          <w:rFonts w:ascii="Calibri" w:hAnsi="Calibri" w:cs="Times New Roman"/>
          <w:color w:val="000000"/>
        </w:rPr>
        <w:t xml:space="preserve"> </w:t>
      </w:r>
      <w:r w:rsidR="0009285A">
        <w:rPr>
          <w:rFonts w:ascii="Calibri" w:hAnsi="Calibri" w:cs="Times New Roman"/>
          <w:color w:val="000000"/>
        </w:rPr>
        <w:t>can be</w:t>
      </w:r>
      <w:r w:rsidRPr="00EA0F0F">
        <w:rPr>
          <w:rFonts w:ascii="Calibri" w:hAnsi="Calibri" w:cs="Times New Roman"/>
          <w:color w:val="000000"/>
        </w:rPr>
        <w:t xml:space="preserve"> used to legitimize actions </w:t>
      </w:r>
      <w:r w:rsidRPr="00EA0F0F">
        <w:rPr>
          <w:rFonts w:ascii="Calibri" w:hAnsi="Calibri" w:cs="Times New Roman"/>
          <w:color w:val="000000"/>
        </w:rPr>
        <w:lastRenderedPageBreak/>
        <w:t xml:space="preserve">and communication by companies, obliterating persuasive forces, assymmetries and coercion that are part of their practices. </w:t>
      </w:r>
      <w:r w:rsidR="00E420A0">
        <w:rPr>
          <w:rFonts w:ascii="Calibri" w:hAnsi="Calibri" w:cs="Times New Roman"/>
          <w:color w:val="000000"/>
        </w:rPr>
        <w:t>T</w:t>
      </w:r>
      <w:r w:rsidR="00E420A0" w:rsidRPr="00EA0F0F">
        <w:rPr>
          <w:rFonts w:ascii="Calibri" w:hAnsi="Calibri" w:cs="Times New Roman"/>
          <w:color w:val="000000"/>
        </w:rPr>
        <w:t xml:space="preserve">he case of the largest environmental </w:t>
      </w:r>
      <w:r w:rsidR="00E420A0">
        <w:rPr>
          <w:rFonts w:ascii="Calibri" w:hAnsi="Calibri" w:cs="Times New Roman"/>
          <w:color w:val="000000"/>
        </w:rPr>
        <w:t>disaster</w:t>
      </w:r>
      <w:r w:rsidR="00E420A0" w:rsidRPr="00EA0F0F">
        <w:rPr>
          <w:rFonts w:ascii="Calibri" w:hAnsi="Calibri" w:cs="Times New Roman"/>
          <w:color w:val="000000"/>
        </w:rPr>
        <w:t xml:space="preserve"> in Brazil</w:t>
      </w:r>
      <w:r w:rsidR="00A631DE">
        <w:rPr>
          <w:rFonts w:ascii="Calibri" w:hAnsi="Calibri" w:cs="Times New Roman"/>
          <w:color w:val="000000"/>
        </w:rPr>
        <w:t xml:space="preserve"> </w:t>
      </w:r>
      <w:r w:rsidR="00A631DE" w:rsidRPr="00EA0F0F">
        <w:rPr>
          <w:rFonts w:ascii="Calibri" w:hAnsi="Calibri" w:cs="Times New Roman"/>
          <w:color w:val="000000"/>
        </w:rPr>
        <w:t>will be used</w:t>
      </w:r>
      <w:r w:rsidR="00E420A0" w:rsidRPr="00EA0F0F">
        <w:rPr>
          <w:rFonts w:ascii="Calibri" w:hAnsi="Calibri" w:cs="Times New Roman"/>
          <w:color w:val="000000"/>
        </w:rPr>
        <w:t xml:space="preserve"> </w:t>
      </w:r>
      <w:r w:rsidR="00A631DE">
        <w:rPr>
          <w:rFonts w:ascii="Calibri" w:hAnsi="Calibri" w:cs="Times New Roman"/>
          <w:color w:val="000000"/>
        </w:rPr>
        <w:t>a</w:t>
      </w:r>
      <w:r w:rsidRPr="00EA0F0F">
        <w:rPr>
          <w:rFonts w:ascii="Calibri" w:hAnsi="Calibri" w:cs="Times New Roman"/>
          <w:color w:val="000000"/>
        </w:rPr>
        <w:t>s an empirical object, the rupture of one of the tailings dams (Fundão) of Samarco Mineração S.A., occurred on November 5, 2015, in Mariana, state of Minas Gerais. This event affected an enormous region on riverside of Rio Doce, causing personal, social, environmental and economic impacts, evidencing fundamental issues to the practice of Public Relations and communication in contemporary organizational context.</w:t>
      </w:r>
      <w:r w:rsidR="00E420A0" w:rsidRPr="00E420A0">
        <w:rPr>
          <w:rFonts w:ascii="Times" w:hAnsi="Times" w:cs="Times New Roman"/>
          <w:sz w:val="20"/>
          <w:szCs w:val="20"/>
        </w:rPr>
        <w:t>.</w:t>
      </w:r>
    </w:p>
    <w:p w14:paraId="3F0B6188" w14:textId="77777777" w:rsidR="00EA0F0F" w:rsidRPr="00EA0F0F" w:rsidRDefault="00EA0F0F" w:rsidP="00EA0F0F">
      <w:pPr>
        <w:jc w:val="both"/>
        <w:rPr>
          <w:rFonts w:ascii="Times" w:hAnsi="Times" w:cs="Times New Roman"/>
          <w:sz w:val="20"/>
          <w:szCs w:val="20"/>
        </w:rPr>
      </w:pPr>
      <w:r w:rsidRPr="00EA0F0F">
        <w:rPr>
          <w:rFonts w:ascii="Calibri" w:hAnsi="Calibri" w:cs="Times New Roman"/>
          <w:b/>
          <w:bCs/>
          <w:color w:val="000000"/>
        </w:rPr>
        <w:t>Keywords:</w:t>
      </w:r>
      <w:r w:rsidRPr="00EA0F0F">
        <w:rPr>
          <w:rFonts w:ascii="Calibri" w:hAnsi="Calibri" w:cs="Times New Roman"/>
          <w:color w:val="000000"/>
        </w:rPr>
        <w:t xml:space="preserve"> Organizational Communication, Excellent Public Relations, Public Relations Models, Dam rupture, mining.</w:t>
      </w:r>
    </w:p>
    <w:p w14:paraId="32A978EC" w14:textId="77777777" w:rsidR="00EA0F0F" w:rsidRPr="00EA0F0F" w:rsidRDefault="00EA0F0F" w:rsidP="00EA0F0F">
      <w:pPr>
        <w:jc w:val="both"/>
        <w:rPr>
          <w:rFonts w:ascii="Times" w:hAnsi="Times" w:cs="Times New Roman"/>
          <w:sz w:val="20"/>
          <w:szCs w:val="20"/>
        </w:rPr>
      </w:pPr>
      <w:r w:rsidRPr="00EA0F0F">
        <w:rPr>
          <w:rFonts w:ascii="Times" w:hAnsi="Times" w:cs="Times New Roman"/>
          <w:sz w:val="20"/>
          <w:szCs w:val="20"/>
        </w:rPr>
        <w:t> </w:t>
      </w:r>
    </w:p>
    <w:p w14:paraId="2A90B965" w14:textId="77777777" w:rsidR="00EA0F0F" w:rsidRDefault="00EA0F0F" w:rsidP="00EA0F0F">
      <w:pPr>
        <w:jc w:val="both"/>
        <w:rPr>
          <w:rFonts w:ascii="Calibri" w:hAnsi="Calibri" w:cs="Times New Roman"/>
          <w:b/>
          <w:bCs/>
          <w:color w:val="000000"/>
        </w:rPr>
      </w:pPr>
      <w:r w:rsidRPr="00EA0F0F">
        <w:rPr>
          <w:rFonts w:ascii="Calibri" w:hAnsi="Calibri" w:cs="Times New Roman"/>
          <w:b/>
          <w:bCs/>
          <w:color w:val="000000"/>
        </w:rPr>
        <w:t>Sumário</w:t>
      </w:r>
    </w:p>
    <w:p w14:paraId="3B344C7D" w14:textId="77777777" w:rsidR="00830674" w:rsidRPr="00EA0F0F" w:rsidRDefault="00830674" w:rsidP="00EA0F0F">
      <w:pPr>
        <w:jc w:val="both"/>
        <w:rPr>
          <w:rFonts w:ascii="Times" w:hAnsi="Times" w:cs="Times New Roman"/>
          <w:sz w:val="20"/>
          <w:szCs w:val="20"/>
        </w:rPr>
      </w:pPr>
    </w:p>
    <w:p w14:paraId="0D25325C"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1. Introdução</w:t>
      </w:r>
    </w:p>
    <w:p w14:paraId="67099EA7"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2. Marco teórico</w:t>
      </w:r>
    </w:p>
    <w:p w14:paraId="7DF8E57C"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3. Metodologia</w:t>
      </w:r>
    </w:p>
    <w:p w14:paraId="5088B7DD"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4. Resultados</w:t>
      </w:r>
    </w:p>
    <w:p w14:paraId="28026FD4"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5. Discussão e conclusões</w:t>
      </w:r>
    </w:p>
    <w:p w14:paraId="0088E9FE"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6. Referências</w:t>
      </w:r>
    </w:p>
    <w:p w14:paraId="1F855DD0" w14:textId="77777777" w:rsidR="00EA0F0F" w:rsidRDefault="00EA0F0F" w:rsidP="00EA0F0F">
      <w:pPr>
        <w:jc w:val="both"/>
        <w:rPr>
          <w:rFonts w:ascii="Calibri" w:hAnsi="Calibri" w:cs="Times New Roman"/>
          <w:b/>
          <w:bCs/>
          <w:color w:val="000000"/>
        </w:rPr>
      </w:pPr>
    </w:p>
    <w:p w14:paraId="5A6CB24E" w14:textId="77777777" w:rsidR="00EA0F0F" w:rsidRDefault="00EA0F0F" w:rsidP="00EA0F0F">
      <w:pPr>
        <w:jc w:val="both"/>
        <w:rPr>
          <w:rFonts w:ascii="Calibri" w:hAnsi="Calibri" w:cs="Times New Roman"/>
          <w:b/>
          <w:bCs/>
          <w:color w:val="000000"/>
        </w:rPr>
      </w:pPr>
      <w:r w:rsidRPr="00EA0F0F">
        <w:rPr>
          <w:rFonts w:ascii="Calibri" w:hAnsi="Calibri" w:cs="Times New Roman"/>
          <w:b/>
          <w:bCs/>
          <w:color w:val="000000"/>
        </w:rPr>
        <w:t>Summary</w:t>
      </w:r>
    </w:p>
    <w:p w14:paraId="606731B2" w14:textId="77777777" w:rsidR="00830674" w:rsidRPr="00EA0F0F" w:rsidRDefault="00830674" w:rsidP="00EA0F0F">
      <w:pPr>
        <w:jc w:val="both"/>
        <w:rPr>
          <w:rFonts w:ascii="Times" w:hAnsi="Times" w:cs="Times New Roman"/>
          <w:sz w:val="20"/>
          <w:szCs w:val="20"/>
        </w:rPr>
      </w:pPr>
    </w:p>
    <w:p w14:paraId="17013317"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1. Introduction</w:t>
      </w:r>
    </w:p>
    <w:p w14:paraId="2411C5EF"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2. Theoretical frame</w:t>
      </w:r>
    </w:p>
    <w:p w14:paraId="1E5E127D"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3. Methodology</w:t>
      </w:r>
    </w:p>
    <w:p w14:paraId="19F7F7B1"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4. Results</w:t>
      </w:r>
    </w:p>
    <w:p w14:paraId="58E5F034" w14:textId="77777777" w:rsidR="00EA0F0F" w:rsidRPr="00EA0F0F" w:rsidRDefault="00EA0F0F" w:rsidP="00EA0F0F">
      <w:pPr>
        <w:jc w:val="both"/>
        <w:rPr>
          <w:rFonts w:ascii="Times" w:hAnsi="Times" w:cs="Times New Roman"/>
          <w:sz w:val="20"/>
          <w:szCs w:val="20"/>
        </w:rPr>
      </w:pPr>
      <w:r w:rsidRPr="00EA0F0F">
        <w:rPr>
          <w:rFonts w:ascii="Calibri" w:hAnsi="Calibri" w:cs="Times New Roman"/>
          <w:color w:val="000000"/>
        </w:rPr>
        <w:t>5. Discussion and conclusions</w:t>
      </w:r>
    </w:p>
    <w:p w14:paraId="083CEFDB" w14:textId="77777777" w:rsidR="00EA0F0F" w:rsidRPr="00EA0F0F" w:rsidRDefault="00EA0F0F" w:rsidP="00EA0F0F">
      <w:pPr>
        <w:spacing w:after="240"/>
        <w:jc w:val="both"/>
        <w:rPr>
          <w:rFonts w:ascii="Times" w:hAnsi="Times" w:cs="Times New Roman"/>
          <w:sz w:val="20"/>
          <w:szCs w:val="20"/>
        </w:rPr>
      </w:pPr>
      <w:r w:rsidRPr="00EA0F0F">
        <w:rPr>
          <w:rFonts w:ascii="Calibri" w:hAnsi="Calibri" w:cs="Times New Roman"/>
          <w:color w:val="000000"/>
        </w:rPr>
        <w:t xml:space="preserve">6. References </w:t>
      </w:r>
    </w:p>
    <w:p w14:paraId="24CA6CCB" w14:textId="77777777" w:rsidR="00EA0F0F" w:rsidRPr="00EA0F0F" w:rsidRDefault="00EA0F0F" w:rsidP="00EA0F0F">
      <w:pPr>
        <w:spacing w:after="240"/>
        <w:jc w:val="both"/>
        <w:rPr>
          <w:rFonts w:ascii="Times" w:hAnsi="Times" w:cs="Times New Roman"/>
          <w:sz w:val="20"/>
          <w:szCs w:val="20"/>
        </w:rPr>
      </w:pPr>
      <w:r w:rsidRPr="00EA0F0F">
        <w:rPr>
          <w:rFonts w:ascii="Times" w:hAnsi="Times" w:cs="Times New Roman"/>
          <w:sz w:val="20"/>
          <w:szCs w:val="20"/>
        </w:rPr>
        <w:t> </w:t>
      </w:r>
    </w:p>
    <w:p w14:paraId="04BC5F1F" w14:textId="77777777" w:rsidR="00EA0F0F" w:rsidRPr="00EA0F0F" w:rsidRDefault="00EA0F0F" w:rsidP="00EA0F0F">
      <w:pPr>
        <w:rPr>
          <w:rFonts w:ascii="Times" w:hAnsi="Times" w:cs="Times New Roman"/>
          <w:sz w:val="20"/>
          <w:szCs w:val="20"/>
        </w:rPr>
      </w:pPr>
      <w:r w:rsidRPr="00EA0F0F">
        <w:rPr>
          <w:rFonts w:ascii="Calibri" w:hAnsi="Calibri" w:cs="Times New Roman"/>
          <w:b/>
          <w:bCs/>
          <w:color w:val="000000"/>
        </w:rPr>
        <w:t>1. INTRODUÇÃO</w:t>
      </w:r>
    </w:p>
    <w:p w14:paraId="4999E4A7" w14:textId="77777777" w:rsidR="00EA0F0F" w:rsidRPr="00EA0F0F" w:rsidRDefault="00EA0F0F" w:rsidP="00EA0F0F">
      <w:pPr>
        <w:ind w:left="-8"/>
        <w:jc w:val="both"/>
        <w:rPr>
          <w:rFonts w:ascii="Times" w:hAnsi="Times" w:cs="Times New Roman"/>
          <w:sz w:val="20"/>
          <w:szCs w:val="20"/>
        </w:rPr>
      </w:pPr>
      <w:r w:rsidRPr="00EA0F0F">
        <w:rPr>
          <w:rFonts w:ascii="Times" w:hAnsi="Times" w:cs="Times New Roman"/>
          <w:sz w:val="20"/>
          <w:szCs w:val="20"/>
        </w:rPr>
        <w:t> </w:t>
      </w:r>
    </w:p>
    <w:p w14:paraId="2FE5C3F2" w14:textId="3E297B7C" w:rsidR="00EA0F0F" w:rsidRPr="00EA0F0F" w:rsidRDefault="00EA0F0F" w:rsidP="00830674">
      <w:pPr>
        <w:spacing w:after="200" w:line="360" w:lineRule="auto"/>
        <w:ind w:left="-6"/>
        <w:jc w:val="both"/>
        <w:rPr>
          <w:rFonts w:ascii="Times" w:hAnsi="Times" w:cs="Times New Roman"/>
          <w:sz w:val="20"/>
          <w:szCs w:val="20"/>
        </w:rPr>
      </w:pPr>
      <w:r w:rsidRPr="00EA0F0F">
        <w:rPr>
          <w:rFonts w:ascii="Calibri" w:hAnsi="Calibri" w:cs="Times New Roman"/>
          <w:color w:val="000000"/>
        </w:rPr>
        <w:t xml:space="preserve">Este artigo pretende apresentar um projeto de pesquisa que visa realizar estudos críticos que fazem frente ao modelo ideal normativo hegemônico das Relações Públicas (RP) proposto por Grunig e Hunt (1984). O modelo simétrico de mão dupla prevê que a comunicação organizacional constitui-se como esforço de administração de conflitos entre organizações e seus públicos, através de negociações e concessões, contrapondo-se às práticas unidirecionais e assimétricas baseadas na persuasão e coerção. A partir de um levantamento teórico, pretende-se investigar </w:t>
      </w:r>
      <w:r w:rsidR="00B57215">
        <w:rPr>
          <w:rFonts w:ascii="Calibri" w:hAnsi="Calibri" w:cs="Times New Roman"/>
          <w:color w:val="000000"/>
        </w:rPr>
        <w:t xml:space="preserve">como </w:t>
      </w:r>
      <w:r w:rsidRPr="00EA0F0F">
        <w:rPr>
          <w:rFonts w:ascii="Calibri" w:hAnsi="Calibri" w:cs="Times New Roman"/>
          <w:color w:val="000000"/>
        </w:rPr>
        <w:t xml:space="preserve">tal modelo </w:t>
      </w:r>
      <w:r w:rsidR="00B57215">
        <w:rPr>
          <w:rFonts w:ascii="Calibri" w:hAnsi="Calibri" w:cs="Times New Roman"/>
          <w:color w:val="000000"/>
        </w:rPr>
        <w:t>pode ser</w:t>
      </w:r>
      <w:r w:rsidRPr="00EA0F0F">
        <w:rPr>
          <w:rFonts w:ascii="Calibri" w:hAnsi="Calibri" w:cs="Times New Roman"/>
          <w:color w:val="000000"/>
        </w:rPr>
        <w:t xml:space="preserve"> utilizado para legitimar ações de comunicação organizacional nas empresas, ao fornecer uma base teórica de pretensa negociação e diálogo que, aparentemente, na prática não se alcança. </w:t>
      </w:r>
    </w:p>
    <w:p w14:paraId="1C9AD642" w14:textId="58731977" w:rsidR="00EA0F0F" w:rsidRPr="00EA0F0F" w:rsidRDefault="00EA0F0F" w:rsidP="00830674">
      <w:pPr>
        <w:spacing w:after="200" w:line="360" w:lineRule="auto"/>
        <w:ind w:left="-8"/>
        <w:jc w:val="both"/>
        <w:rPr>
          <w:rFonts w:ascii="Times" w:hAnsi="Times" w:cs="Times New Roman"/>
          <w:sz w:val="20"/>
          <w:szCs w:val="20"/>
        </w:rPr>
      </w:pPr>
      <w:r w:rsidRPr="00EA0F0F">
        <w:rPr>
          <w:rFonts w:ascii="Calibri" w:hAnsi="Calibri" w:cs="Times New Roman"/>
          <w:color w:val="000000"/>
        </w:rPr>
        <w:t xml:space="preserve">Como objeto empírico, será utilizado o caso do maior </w:t>
      </w:r>
      <w:r w:rsidR="00E97C84">
        <w:rPr>
          <w:rFonts w:ascii="Calibri" w:hAnsi="Calibri" w:cs="Times New Roman"/>
          <w:color w:val="000000"/>
        </w:rPr>
        <w:t>desastre</w:t>
      </w:r>
      <w:r w:rsidRPr="00EA0F0F">
        <w:rPr>
          <w:rFonts w:ascii="Calibri" w:hAnsi="Calibri" w:cs="Times New Roman"/>
          <w:color w:val="000000"/>
        </w:rPr>
        <w:t xml:space="preserve"> ambiental do Brasil, o rompimento de uma das barragens de rejeitos (Fundão) da Samarco Mineração S.A., ocorrido em 5 de novembro de 2015 no município de Mariana, estado de Minas Gerais. O vazamento do rejeito de minério afetou uma enorme região às margens do Rio Doce, ocasionando impactos pessoais, sociais,  ambientais, econômicos.</w:t>
      </w:r>
    </w:p>
    <w:p w14:paraId="413DDBE9" w14:textId="3CEDF9B2" w:rsidR="00EA0F0F" w:rsidRPr="00EA0F0F" w:rsidRDefault="00EA0F0F" w:rsidP="00B464A5">
      <w:pPr>
        <w:spacing w:after="200" w:line="360" w:lineRule="auto"/>
        <w:ind w:left="-8"/>
        <w:jc w:val="both"/>
        <w:rPr>
          <w:rFonts w:ascii="Times" w:hAnsi="Times" w:cs="Times New Roman"/>
          <w:sz w:val="20"/>
          <w:szCs w:val="20"/>
        </w:rPr>
      </w:pPr>
      <w:r w:rsidRPr="00EA0F0F">
        <w:rPr>
          <w:rFonts w:ascii="Calibri" w:hAnsi="Calibri" w:cs="Times New Roman"/>
          <w:color w:val="000000"/>
        </w:rPr>
        <w:t>A pesquisa, a partir deste objeto empírico, tem como objetivo refletir de maneira crítica as possibilidades de revisar teoricamente o modelo ideal normativo hegemônico das RP, o modelo simétrico de mão dupla, tido como modelo da excelência em comunicação organizacional. Tais análises críticas adquirem especial relevância no momento em que são implementadas as Diretrizes Curriculares Nacionais (MEC, 2013) para os cursos de RP no Brasil, forçando as instituições de ensino superior a repensar seus projetos pedagógicos e o arcabouço teórico que sustenta a formação profissional dos gestores de comunicação organizacional. Ademais, o setor de mineração vive um momento de exposição e reposicionamento de suas práticas, após o rompimento da barragem da Samarco Mineração, evidenciando relações conflitantes, públicos ali constituídos (como os atingidos) e a adoção de estratégias de (in)visibilidade por parte das empresas do setor que merecem atenta análise.</w:t>
      </w:r>
    </w:p>
    <w:p w14:paraId="7D2A48FD" w14:textId="1090F54A"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b/>
          <w:bCs/>
          <w:color w:val="000000"/>
        </w:rPr>
        <w:t>2. MARCO TEÓRICO</w:t>
      </w:r>
    </w:p>
    <w:p w14:paraId="5A3F1FD3"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b/>
          <w:bCs/>
          <w:color w:val="000000"/>
        </w:rPr>
        <w:t>2.1. A Teoria da Excelência em Relações Públicas</w:t>
      </w:r>
    </w:p>
    <w:p w14:paraId="2AB7A061" w14:textId="241EC045" w:rsidR="00EA0F0F" w:rsidRPr="00EA0F0F" w:rsidRDefault="00EA0F0F" w:rsidP="00830674">
      <w:pPr>
        <w:spacing w:after="200" w:line="360" w:lineRule="auto"/>
        <w:jc w:val="both"/>
        <w:rPr>
          <w:rFonts w:ascii="Times" w:hAnsi="Times" w:cs="Times New Roman"/>
          <w:sz w:val="20"/>
          <w:szCs w:val="20"/>
        </w:rPr>
      </w:pPr>
      <w:r w:rsidRPr="00EA0F0F">
        <w:rPr>
          <w:rFonts w:ascii="Times" w:hAnsi="Times" w:cs="Times New Roman"/>
          <w:sz w:val="20"/>
          <w:szCs w:val="20"/>
        </w:rPr>
        <w:t> </w:t>
      </w:r>
      <w:r w:rsidRPr="00EA0F0F">
        <w:rPr>
          <w:rFonts w:ascii="Calibri" w:hAnsi="Calibri" w:cs="Times New Roman"/>
          <w:color w:val="000000"/>
        </w:rPr>
        <w:t xml:space="preserve">Lançado por James Grunig e Todd Hunt em 1984, os quatro modelos de relações públicas - que descrevem os modos de relacionamento organizacional a partir das noções dicotômicas de simetria e assimetria, e de mão única e mão dupla - rapidamente tornaram-se canônicas no campo de estudos de comunicação das organizações nos Estados Unidos, Europa e também no Brasil. O primeiro modelo, de agência de imprensa ou publicidade, adota um tipo de comunicação de mão única valendo-se de técnicas de persuasão e manipulação para influenciar as audiências, a partir dos interesses organizacionais. O segundo modelo, chamado de informação pública, ainda está embasado em uma via unidirecional, com uso de técnicas de assessoria de imprensa buscando construir pautas que, atendendo aos interesses organizacionais, também sejam de interesse público. </w:t>
      </w:r>
    </w:p>
    <w:p w14:paraId="6190670D"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O terceiro modelo, assimétrico de mão dupla, ressalta a prática da pesquisa (sondagens de opinião) como possibilidade das organizações conhecerem melhor seus públicos de modo a direcionar seus esforços de persuasão, de acordo com os interesses organizacionais. Ou seja, é um modelo de mão dupla porque a organização abre seus canais para escuta das opiniões de seus públicos, mas ainda é assimétrico, na medida em que faz uso interessado de tais informações, no sentido de buscar modificar o comportamento dos públicos, com um conhecimento mais qualificado de seus anseios, segundo os interesses organizacionais. Assim, chega-se ao quarto modelo, considerado mais ético, que é o simétrico de mão dupla, que considera a comunicação como esforço de negociação da organização com os públicos, de compreensão mútua para a resolução de conflitos entre as partes. Este último modelo, batizado de modelo de excelência, traz a opinião dos públicos como agente transformador do comportamento organizacional, segundo pautas mais amplas de interesse social.</w:t>
      </w:r>
    </w:p>
    <w:p w14:paraId="7BCE584D" w14:textId="77777777" w:rsidR="00EA0F0F" w:rsidRDefault="00EA0F0F" w:rsidP="00830674">
      <w:pPr>
        <w:spacing w:after="200" w:line="360" w:lineRule="auto"/>
        <w:jc w:val="both"/>
        <w:rPr>
          <w:rFonts w:ascii="Calibri" w:hAnsi="Calibri" w:cs="Times New Roman"/>
          <w:color w:val="000000"/>
        </w:rPr>
      </w:pPr>
      <w:r w:rsidRPr="00EA0F0F">
        <w:rPr>
          <w:rFonts w:ascii="Calibri" w:hAnsi="Calibri" w:cs="Times New Roman"/>
          <w:color w:val="000000"/>
        </w:rPr>
        <w:t>Estes modelos hegemônicos nos estudos de comunicação organizacional e relações públicas vêm enfrentando uma série de críticas desde sua proposição inicial, principalmente por admitir a centralidade e um pretenso controle da organização nas relações que estabelece. Dentre as principais críticas, destacamos o trabalho de Pieczka (2011) e L'Etang e Pieczka (2006) que têm demonstrado que o modelo de excelência é normativo e super idealizado, apontando fragilidades nas concepções teóricas em que se baseia e o perigo do descolamento entre os sistemas teóricos propostos e a prática que se efetiva nas organizações. Também Lee Edwards e Caroline Hodges (2011) apontam que os modelos de Grunig e Hunt, ao se basearem sobremaneira nos aspectos organizacionais, acabaram por simplificar a subjetividade e a complexidade dos aspectos humanos das organizações e seus públicos, ou seja, deixaram de olhar para as organizações com base em aspectos sociais e culturais mais amplos.</w:t>
      </w:r>
    </w:p>
    <w:p w14:paraId="361E8878" w14:textId="77777777" w:rsidR="00EA0F0F" w:rsidRPr="00A7775A" w:rsidRDefault="00911E41" w:rsidP="00830674">
      <w:pPr>
        <w:spacing w:after="200" w:line="360" w:lineRule="auto"/>
        <w:jc w:val="both"/>
        <w:rPr>
          <w:rFonts w:ascii="Calibri" w:hAnsi="Calibri" w:cs="Times New Roman"/>
          <w:color w:val="000000"/>
        </w:rPr>
      </w:pPr>
      <w:r>
        <w:rPr>
          <w:rFonts w:ascii="Calibri" w:hAnsi="Calibri" w:cs="Times New Roman"/>
          <w:color w:val="000000"/>
        </w:rPr>
        <w:t xml:space="preserve">Há de se pontuar que James Grunig, professor emérito da Universidade de Maryland, ainda é um dos grandes nomes mundiais da pesquisa em Relações Públicas, dialogando ativamente com autores que trouxeram </w:t>
      </w:r>
      <w:r w:rsidR="00B57215">
        <w:rPr>
          <w:rFonts w:ascii="Calibri" w:hAnsi="Calibri" w:cs="Times New Roman"/>
          <w:color w:val="000000"/>
        </w:rPr>
        <w:t xml:space="preserve">(e ainda trazem) </w:t>
      </w:r>
      <w:r>
        <w:rPr>
          <w:rFonts w:ascii="Calibri" w:hAnsi="Calibri" w:cs="Times New Roman"/>
          <w:color w:val="000000"/>
        </w:rPr>
        <w:t>proposições críticas ao que ele considera uma teoria geral de RP, chegando a considerar, por exemplo, que o modelo de motivação mista, proposto por Priscilla Murphy (1991)</w:t>
      </w:r>
      <w:r w:rsidR="00CD5E8F">
        <w:rPr>
          <w:rFonts w:ascii="Calibri" w:hAnsi="Calibri" w:cs="Times New Roman"/>
          <w:color w:val="000000"/>
        </w:rPr>
        <w:t>,</w:t>
      </w:r>
      <w:r>
        <w:rPr>
          <w:rFonts w:ascii="Calibri" w:hAnsi="Calibri" w:cs="Times New Roman"/>
          <w:color w:val="000000"/>
        </w:rPr>
        <w:t xml:space="preserve"> faz parte da excelência (GRUNIG, 199</w:t>
      </w:r>
      <w:r w:rsidR="00CD5E8F">
        <w:rPr>
          <w:rFonts w:ascii="Calibri" w:hAnsi="Calibri" w:cs="Times New Roman"/>
          <w:color w:val="000000"/>
        </w:rPr>
        <w:t>2</w:t>
      </w:r>
      <w:r>
        <w:rPr>
          <w:rFonts w:ascii="Calibri" w:hAnsi="Calibri" w:cs="Times New Roman"/>
          <w:color w:val="000000"/>
        </w:rPr>
        <w:t>)</w:t>
      </w:r>
      <w:r w:rsidRPr="00A7775A">
        <w:rPr>
          <w:rFonts w:ascii="Calibri" w:hAnsi="Calibri" w:cs="Times New Roman"/>
          <w:color w:val="000000"/>
        </w:rPr>
        <w:t>.</w:t>
      </w:r>
      <w:r w:rsidR="00CD5E8F" w:rsidRPr="00A7775A">
        <w:rPr>
          <w:rFonts w:ascii="Calibri" w:hAnsi="Calibri" w:cs="Times New Roman"/>
          <w:color w:val="000000"/>
        </w:rPr>
        <w:t xml:space="preserve"> Ao elaborar uma proposição mais alinhada à realidade praticada nas</w:t>
      </w:r>
      <w:r w:rsidR="00A7775A">
        <w:rPr>
          <w:rFonts w:ascii="Calibri" w:hAnsi="Calibri" w:cs="Times New Roman"/>
          <w:color w:val="000000"/>
        </w:rPr>
        <w:t xml:space="preserve"> e pelas</w:t>
      </w:r>
      <w:r w:rsidR="00CD5E8F" w:rsidRPr="00A7775A">
        <w:rPr>
          <w:rFonts w:ascii="Calibri" w:hAnsi="Calibri" w:cs="Times New Roman"/>
          <w:color w:val="000000"/>
        </w:rPr>
        <w:t xml:space="preserve"> organizações, </w:t>
      </w:r>
      <w:r w:rsidR="00A7775A" w:rsidRPr="009B2975">
        <w:rPr>
          <w:rFonts w:ascii="Calibri" w:hAnsi="Calibri" w:cs="Times New Roman"/>
          <w:color w:val="000000"/>
        </w:rPr>
        <w:t>o modelo de motivação mista</w:t>
      </w:r>
      <w:r w:rsidR="00A7775A">
        <w:rPr>
          <w:rFonts w:ascii="Calibri" w:hAnsi="Calibri" w:cs="Times New Roman"/>
          <w:color w:val="000000"/>
        </w:rPr>
        <w:t>, no entanto,</w:t>
      </w:r>
      <w:r w:rsidR="00A7775A" w:rsidRPr="009B2975">
        <w:rPr>
          <w:rFonts w:ascii="Calibri" w:hAnsi="Calibri" w:cs="Times New Roman"/>
          <w:color w:val="000000"/>
        </w:rPr>
        <w:t xml:space="preserve"> se afasta do modelo puro de simetria de mão dupla</w:t>
      </w:r>
      <w:r w:rsidR="00A7775A">
        <w:rPr>
          <w:rFonts w:ascii="Calibri" w:hAnsi="Calibri" w:cs="Times New Roman"/>
          <w:color w:val="000000"/>
        </w:rPr>
        <w:t>,</w:t>
      </w:r>
      <w:r w:rsidR="00A7775A" w:rsidRPr="00A7775A">
        <w:rPr>
          <w:rFonts w:ascii="Calibri" w:hAnsi="Calibri" w:cs="Times New Roman"/>
          <w:color w:val="000000"/>
        </w:rPr>
        <w:t xml:space="preserve"> </w:t>
      </w:r>
      <w:r w:rsidR="00CD5E8F" w:rsidRPr="00A7775A">
        <w:rPr>
          <w:rFonts w:ascii="Calibri" w:hAnsi="Calibri" w:cs="Times New Roman"/>
          <w:color w:val="000000"/>
        </w:rPr>
        <w:t xml:space="preserve">admitindo que as soluções </w:t>
      </w:r>
      <w:r w:rsidR="00A7775A" w:rsidRPr="00A7775A">
        <w:rPr>
          <w:rFonts w:ascii="Calibri" w:hAnsi="Calibri" w:cs="Times New Roman"/>
          <w:color w:val="000000"/>
        </w:rPr>
        <w:t>mutuamente benéficas para as partes não necessariamente constituem maior ganho mas sim melhor resultado a longo prazo.</w:t>
      </w:r>
    </w:p>
    <w:p w14:paraId="4C663F3B" w14:textId="77777777" w:rsidR="00203E36" w:rsidRDefault="00EA0F0F" w:rsidP="00830674">
      <w:pPr>
        <w:spacing w:after="200" w:line="360" w:lineRule="auto"/>
        <w:jc w:val="both"/>
        <w:rPr>
          <w:rFonts w:ascii="Calibri" w:hAnsi="Calibri" w:cs="Times New Roman"/>
          <w:color w:val="000000"/>
        </w:rPr>
      </w:pPr>
      <w:r w:rsidRPr="00EA0F0F">
        <w:rPr>
          <w:rFonts w:ascii="Calibri" w:hAnsi="Calibri" w:cs="Times New Roman"/>
          <w:color w:val="000000"/>
        </w:rPr>
        <w:t>Tais reflexões</w:t>
      </w:r>
      <w:r w:rsidR="00B57215">
        <w:rPr>
          <w:rFonts w:ascii="Calibri" w:hAnsi="Calibri" w:cs="Times New Roman"/>
          <w:color w:val="000000"/>
        </w:rPr>
        <w:t>, de todo modo,</w:t>
      </w:r>
      <w:r w:rsidRPr="00EA0F0F">
        <w:rPr>
          <w:rFonts w:ascii="Calibri" w:hAnsi="Calibri" w:cs="Times New Roman"/>
          <w:color w:val="000000"/>
        </w:rPr>
        <w:t xml:space="preserve"> parecem indicar não apenas um avanço teórico e epistemológico relevante para o campo de estudos da comunicação organizacional e relações públicas no Brasil e no mundo, mas, também, a necessidade de se analisar crítica e empiricamente seus objetos. </w:t>
      </w:r>
      <w:r w:rsidR="00203E36">
        <w:rPr>
          <w:rFonts w:ascii="Calibri" w:hAnsi="Calibri" w:cs="Times New Roman"/>
          <w:color w:val="000000"/>
        </w:rPr>
        <w:t>Os robustos estudos que culminaram na teoria da excelência foram baseados em metodologia quantitativa aplicada em ampla escala, em todo o mundo. Sua</w:t>
      </w:r>
      <w:r w:rsidR="00203E36" w:rsidRPr="00EA0F0F">
        <w:rPr>
          <w:rFonts w:ascii="Calibri" w:hAnsi="Calibri" w:cs="Times New Roman"/>
          <w:color w:val="000000"/>
        </w:rPr>
        <w:t xml:space="preserve"> </w:t>
      </w:r>
      <w:r w:rsidRPr="00EA0F0F">
        <w:rPr>
          <w:rFonts w:ascii="Calibri" w:hAnsi="Calibri" w:cs="Times New Roman"/>
          <w:color w:val="000000"/>
        </w:rPr>
        <w:t xml:space="preserve">relevância </w:t>
      </w:r>
      <w:r w:rsidR="00203E36">
        <w:rPr>
          <w:rFonts w:ascii="Calibri" w:hAnsi="Calibri" w:cs="Times New Roman"/>
          <w:color w:val="000000"/>
        </w:rPr>
        <w:t>é inegável. Contudo, volta-se sobremaneira à</w:t>
      </w:r>
      <w:r w:rsidRPr="00EA0F0F">
        <w:rPr>
          <w:rFonts w:ascii="Calibri" w:hAnsi="Calibri" w:cs="Times New Roman"/>
          <w:color w:val="000000"/>
        </w:rPr>
        <w:t xml:space="preserve"> construção de um arcabouço teórico que se valida na academia (de forma abstrata) </w:t>
      </w:r>
      <w:r w:rsidR="00203E36">
        <w:rPr>
          <w:rFonts w:ascii="Calibri" w:hAnsi="Calibri" w:cs="Times New Roman"/>
          <w:color w:val="000000"/>
        </w:rPr>
        <w:t>buscando legitimar uma</w:t>
      </w:r>
      <w:r w:rsidRPr="00EA0F0F">
        <w:rPr>
          <w:rFonts w:ascii="Calibri" w:hAnsi="Calibri" w:cs="Times New Roman"/>
          <w:color w:val="000000"/>
        </w:rPr>
        <w:t xml:space="preserve"> </w:t>
      </w:r>
      <w:r w:rsidR="00203E36">
        <w:rPr>
          <w:rFonts w:ascii="Calibri" w:hAnsi="Calibri" w:cs="Times New Roman"/>
          <w:color w:val="000000"/>
        </w:rPr>
        <w:t>atividade</w:t>
      </w:r>
      <w:r w:rsidR="00203E36" w:rsidRPr="00EA0F0F">
        <w:rPr>
          <w:rFonts w:ascii="Calibri" w:hAnsi="Calibri" w:cs="Times New Roman"/>
          <w:color w:val="000000"/>
        </w:rPr>
        <w:t xml:space="preserve"> </w:t>
      </w:r>
      <w:r w:rsidRPr="00EA0F0F">
        <w:rPr>
          <w:rFonts w:ascii="Calibri" w:hAnsi="Calibri" w:cs="Times New Roman"/>
          <w:color w:val="000000"/>
        </w:rPr>
        <w:t>profissional (pragmaticamente)</w:t>
      </w:r>
      <w:r w:rsidR="00203E36">
        <w:rPr>
          <w:rFonts w:ascii="Calibri" w:hAnsi="Calibri" w:cs="Times New Roman"/>
          <w:color w:val="000000"/>
        </w:rPr>
        <w:t>. O que se argumenta é pela necessidade de, a partir dela, buscar</w:t>
      </w:r>
      <w:r w:rsidRPr="00EA0F0F">
        <w:rPr>
          <w:rFonts w:ascii="Calibri" w:hAnsi="Calibri" w:cs="Times New Roman"/>
          <w:color w:val="000000"/>
        </w:rPr>
        <w:t xml:space="preserve"> também (e talvez principalmente) pela contribuição social que produz, de forma mais ampla. Ou seja, </w:t>
      </w:r>
      <w:r w:rsidR="00203E36">
        <w:rPr>
          <w:rFonts w:ascii="Calibri" w:hAnsi="Calibri" w:cs="Times New Roman"/>
          <w:color w:val="000000"/>
        </w:rPr>
        <w:t xml:space="preserve">em que medida a área consegue </w:t>
      </w:r>
      <w:r w:rsidR="00203E36" w:rsidRPr="00EA0F0F">
        <w:rPr>
          <w:rFonts w:ascii="Calibri" w:hAnsi="Calibri" w:cs="Times New Roman"/>
          <w:color w:val="000000"/>
        </w:rPr>
        <w:t>gera</w:t>
      </w:r>
      <w:r w:rsidR="00203E36">
        <w:rPr>
          <w:rFonts w:ascii="Calibri" w:hAnsi="Calibri" w:cs="Times New Roman"/>
          <w:color w:val="000000"/>
        </w:rPr>
        <w:t>r</w:t>
      </w:r>
      <w:r w:rsidR="00203E36" w:rsidRPr="00EA0F0F">
        <w:rPr>
          <w:rFonts w:ascii="Calibri" w:hAnsi="Calibri" w:cs="Times New Roman"/>
          <w:color w:val="000000"/>
        </w:rPr>
        <w:t xml:space="preserve"> </w:t>
      </w:r>
      <w:r w:rsidRPr="00EA0F0F">
        <w:rPr>
          <w:rFonts w:ascii="Calibri" w:hAnsi="Calibri" w:cs="Times New Roman"/>
          <w:color w:val="000000"/>
        </w:rPr>
        <w:t xml:space="preserve">conhecimento significativo, através do esforço analítico de casos concretos, que contribuam para o </w:t>
      </w:r>
      <w:r w:rsidR="00203E36">
        <w:rPr>
          <w:rFonts w:ascii="Calibri" w:hAnsi="Calibri" w:cs="Times New Roman"/>
          <w:color w:val="000000"/>
        </w:rPr>
        <w:t xml:space="preserve">entendimento e </w:t>
      </w:r>
      <w:r w:rsidRPr="00EA0F0F">
        <w:rPr>
          <w:rFonts w:ascii="Calibri" w:hAnsi="Calibri" w:cs="Times New Roman"/>
          <w:color w:val="000000"/>
        </w:rPr>
        <w:t>desenvolvimento de toda a sociedade.</w:t>
      </w:r>
    </w:p>
    <w:p w14:paraId="099499E5" w14:textId="77777777" w:rsidR="00AB479E" w:rsidRDefault="0035522F" w:rsidP="00830674">
      <w:pPr>
        <w:spacing w:after="200" w:line="360" w:lineRule="auto"/>
        <w:jc w:val="both"/>
        <w:rPr>
          <w:rFonts w:ascii="Calibri" w:hAnsi="Calibri" w:cs="Times New Roman"/>
          <w:color w:val="000000"/>
        </w:rPr>
      </w:pPr>
      <w:r>
        <w:rPr>
          <w:rFonts w:ascii="Calibri" w:hAnsi="Calibri" w:cs="Times New Roman"/>
          <w:color w:val="000000"/>
        </w:rPr>
        <w:t xml:space="preserve">Neste sentido, percebe-se que os estudos de Relações Públicas, pautados pelos estudos de excelência, têm se desenvolvido numa perspectiva funcional que recorre ao panorama ético ali proposto para analisar a efetividade das práticas organizacionais, atribuindo-lhes valoração, de acordo com o modo como tais práticas se encaixam no modelo. O que aqui se advoga é pela necessidade de, </w:t>
      </w:r>
      <w:r w:rsidR="00F518AA">
        <w:rPr>
          <w:rFonts w:ascii="Calibri" w:hAnsi="Calibri" w:cs="Times New Roman"/>
          <w:color w:val="000000"/>
        </w:rPr>
        <w:t>por</w:t>
      </w:r>
      <w:r>
        <w:rPr>
          <w:rFonts w:ascii="Calibri" w:hAnsi="Calibri" w:cs="Times New Roman"/>
          <w:color w:val="000000"/>
        </w:rPr>
        <w:t xml:space="preserve"> outro ponto de vista, avançar para além deste tipo de análise, buscando rastros ou pistas, nas interações organizacionais</w:t>
      </w:r>
      <w:r w:rsidR="00F518AA">
        <w:rPr>
          <w:rFonts w:ascii="Calibri" w:hAnsi="Calibri" w:cs="Times New Roman"/>
          <w:color w:val="000000"/>
        </w:rPr>
        <w:t xml:space="preserve"> e/ou de seus públicos</w:t>
      </w:r>
      <w:r>
        <w:rPr>
          <w:rFonts w:ascii="Calibri" w:hAnsi="Calibri" w:cs="Times New Roman"/>
          <w:color w:val="000000"/>
        </w:rPr>
        <w:t xml:space="preserve">, </w:t>
      </w:r>
      <w:r w:rsidR="00F518AA">
        <w:rPr>
          <w:rFonts w:ascii="Calibri" w:hAnsi="Calibri" w:cs="Times New Roman"/>
          <w:color w:val="000000"/>
        </w:rPr>
        <w:t>de</w:t>
      </w:r>
      <w:r>
        <w:rPr>
          <w:rFonts w:ascii="Calibri" w:hAnsi="Calibri" w:cs="Times New Roman"/>
          <w:color w:val="000000"/>
        </w:rPr>
        <w:t xml:space="preserve"> enfrentamentos discursivos, políticos e estratégicos</w:t>
      </w:r>
      <w:r w:rsidR="00B52A89">
        <w:rPr>
          <w:rFonts w:ascii="Calibri" w:hAnsi="Calibri" w:cs="Times New Roman"/>
          <w:color w:val="000000"/>
        </w:rPr>
        <w:t xml:space="preserve"> que evidenciem as </w:t>
      </w:r>
      <w:r w:rsidR="00AB479E">
        <w:rPr>
          <w:rFonts w:ascii="Calibri" w:hAnsi="Calibri" w:cs="Times New Roman"/>
          <w:color w:val="000000"/>
        </w:rPr>
        <w:t xml:space="preserve">contradições, </w:t>
      </w:r>
      <w:r w:rsidR="00B52A89">
        <w:rPr>
          <w:rFonts w:ascii="Calibri" w:hAnsi="Calibri" w:cs="Times New Roman"/>
          <w:color w:val="000000"/>
        </w:rPr>
        <w:t>ambiguidades e dissensos que conformam a prática das Relações Públicas</w:t>
      </w:r>
      <w:r w:rsidR="00002192">
        <w:rPr>
          <w:rFonts w:ascii="Calibri" w:hAnsi="Calibri" w:cs="Times New Roman"/>
          <w:color w:val="000000"/>
        </w:rPr>
        <w:t>,</w:t>
      </w:r>
      <w:r w:rsidR="00AB479E">
        <w:rPr>
          <w:rFonts w:ascii="Calibri" w:hAnsi="Calibri" w:cs="Times New Roman"/>
          <w:color w:val="000000"/>
        </w:rPr>
        <w:t xml:space="preserve"> no sentido de propor agendas, inserir </w:t>
      </w:r>
      <w:r w:rsidR="00002192">
        <w:rPr>
          <w:rFonts w:ascii="Calibri" w:hAnsi="Calibri" w:cs="Times New Roman"/>
          <w:color w:val="000000"/>
        </w:rPr>
        <w:t xml:space="preserve">pautas na esfera pública </w:t>
      </w:r>
      <w:r w:rsidR="00AB479E">
        <w:rPr>
          <w:rFonts w:ascii="Calibri" w:hAnsi="Calibri" w:cs="Times New Roman"/>
          <w:color w:val="000000"/>
        </w:rPr>
        <w:t>e influenciar a opinião pública</w:t>
      </w:r>
      <w:r w:rsidR="00002192">
        <w:rPr>
          <w:rFonts w:ascii="Calibri" w:hAnsi="Calibri" w:cs="Times New Roman"/>
          <w:color w:val="000000"/>
        </w:rPr>
        <w:t xml:space="preserve"> em torno de significados interessados que atuam diretamente na construção social da realidade contemporânea</w:t>
      </w:r>
      <w:r>
        <w:rPr>
          <w:rFonts w:ascii="Calibri" w:hAnsi="Calibri" w:cs="Times New Roman"/>
          <w:color w:val="000000"/>
        </w:rPr>
        <w:t>.</w:t>
      </w:r>
      <w:r w:rsidR="00F518AA">
        <w:rPr>
          <w:rFonts w:ascii="Calibri" w:hAnsi="Calibri" w:cs="Times New Roman"/>
          <w:color w:val="000000"/>
        </w:rPr>
        <w:t xml:space="preserve"> Trata-se</w:t>
      </w:r>
      <w:r w:rsidR="00002192">
        <w:rPr>
          <w:rFonts w:ascii="Calibri" w:hAnsi="Calibri" w:cs="Times New Roman"/>
          <w:color w:val="000000"/>
        </w:rPr>
        <w:t>, portanto,</w:t>
      </w:r>
      <w:r w:rsidR="00F518AA">
        <w:rPr>
          <w:rFonts w:ascii="Calibri" w:hAnsi="Calibri" w:cs="Times New Roman"/>
          <w:color w:val="000000"/>
        </w:rPr>
        <w:t xml:space="preserve"> de uma inflexão importante: admitir e enfrentar</w:t>
      </w:r>
      <w:r w:rsidR="006D17E1">
        <w:rPr>
          <w:rFonts w:ascii="Calibri" w:hAnsi="Calibri" w:cs="Times New Roman"/>
          <w:color w:val="000000"/>
        </w:rPr>
        <w:t xml:space="preserve"> também</w:t>
      </w:r>
      <w:r w:rsidR="00F518AA">
        <w:rPr>
          <w:rFonts w:ascii="Calibri" w:hAnsi="Calibri" w:cs="Times New Roman"/>
          <w:color w:val="000000"/>
        </w:rPr>
        <w:t xml:space="preserve"> a face antiética das relações públicas como objeto de análise, no bojo da configuração de uma sociedade democrática. </w:t>
      </w:r>
    </w:p>
    <w:p w14:paraId="24E0A967" w14:textId="77777777" w:rsidR="006D17E1" w:rsidRDefault="00F518AA" w:rsidP="00830674">
      <w:pPr>
        <w:spacing w:after="200" w:line="360" w:lineRule="auto"/>
        <w:jc w:val="both"/>
        <w:rPr>
          <w:rFonts w:ascii="Calibri" w:hAnsi="Calibri" w:cs="Times New Roman"/>
          <w:color w:val="000000"/>
        </w:rPr>
      </w:pPr>
      <w:r>
        <w:rPr>
          <w:rFonts w:ascii="Calibri" w:hAnsi="Calibri" w:cs="Times New Roman"/>
          <w:color w:val="000000"/>
        </w:rPr>
        <w:t xml:space="preserve">Ao que nos parece, o perigo da teoria da excelência é que, ao </w:t>
      </w:r>
      <w:r w:rsidR="00B52A89">
        <w:rPr>
          <w:rFonts w:ascii="Calibri" w:hAnsi="Calibri" w:cs="Times New Roman"/>
          <w:color w:val="000000"/>
        </w:rPr>
        <w:t xml:space="preserve">apontar para um horizonte ético pautado no equilíbrio de interesse entre a organização e seus públicos, </w:t>
      </w:r>
      <w:r w:rsidR="00AB479E">
        <w:rPr>
          <w:rFonts w:ascii="Calibri" w:hAnsi="Calibri" w:cs="Times New Roman"/>
          <w:color w:val="000000"/>
        </w:rPr>
        <w:t xml:space="preserve">a proposição </w:t>
      </w:r>
      <w:r w:rsidR="006D17E1">
        <w:rPr>
          <w:rFonts w:ascii="Calibri" w:hAnsi="Calibri" w:cs="Times New Roman"/>
          <w:color w:val="000000"/>
        </w:rPr>
        <w:t xml:space="preserve">fornece algo como uma escala </w:t>
      </w:r>
      <w:r w:rsidR="00C13583">
        <w:rPr>
          <w:rFonts w:ascii="Calibri" w:hAnsi="Calibri" w:cs="Times New Roman"/>
          <w:color w:val="000000"/>
        </w:rPr>
        <w:t>de valores que deve nortear a prática organizacional</w:t>
      </w:r>
      <w:r w:rsidR="00E2768F">
        <w:rPr>
          <w:rFonts w:ascii="Calibri" w:hAnsi="Calibri" w:cs="Times New Roman"/>
          <w:color w:val="000000"/>
        </w:rPr>
        <w:t>,</w:t>
      </w:r>
      <w:r w:rsidR="00C13583">
        <w:rPr>
          <w:rFonts w:ascii="Calibri" w:hAnsi="Calibri" w:cs="Times New Roman"/>
          <w:color w:val="000000"/>
        </w:rPr>
        <w:t xml:space="preserve"> um ideal moral</w:t>
      </w:r>
      <w:r w:rsidR="00E2768F">
        <w:rPr>
          <w:rFonts w:ascii="Calibri" w:hAnsi="Calibri" w:cs="Times New Roman"/>
          <w:color w:val="000000"/>
        </w:rPr>
        <w:t xml:space="preserve"> a ser perseguido e sobre o qual são escrutinadas as atividades das organizações. Assim</w:t>
      </w:r>
      <w:r w:rsidR="00143693">
        <w:rPr>
          <w:rFonts w:ascii="Calibri" w:hAnsi="Calibri" w:cs="Times New Roman"/>
          <w:color w:val="000000"/>
        </w:rPr>
        <w:t>, silencia</w:t>
      </w:r>
      <w:r w:rsidR="00E2768F">
        <w:rPr>
          <w:rFonts w:ascii="Calibri" w:hAnsi="Calibri" w:cs="Times New Roman"/>
          <w:color w:val="000000"/>
        </w:rPr>
        <w:t>m-se</w:t>
      </w:r>
      <w:r w:rsidR="00143693">
        <w:rPr>
          <w:rFonts w:ascii="Calibri" w:hAnsi="Calibri" w:cs="Times New Roman"/>
          <w:color w:val="000000"/>
        </w:rPr>
        <w:t xml:space="preserve"> outras tantas discussões relevantes que perdem força no campo de estudos</w:t>
      </w:r>
      <w:r w:rsidR="00002192">
        <w:rPr>
          <w:rFonts w:ascii="Calibri" w:hAnsi="Calibri" w:cs="Times New Roman"/>
          <w:color w:val="000000"/>
        </w:rPr>
        <w:t xml:space="preserve"> da comunicação organizacional</w:t>
      </w:r>
      <w:r w:rsidR="001A36F5">
        <w:rPr>
          <w:rFonts w:ascii="Calibri" w:hAnsi="Calibri" w:cs="Times New Roman"/>
          <w:color w:val="000000"/>
        </w:rPr>
        <w:t xml:space="preserve"> já que </w:t>
      </w:r>
      <w:r w:rsidR="008E216C">
        <w:rPr>
          <w:rFonts w:ascii="Calibri" w:hAnsi="Calibri" w:cs="Times New Roman"/>
          <w:color w:val="000000"/>
        </w:rPr>
        <w:t>o</w:t>
      </w:r>
      <w:r w:rsidR="00AB479E">
        <w:rPr>
          <w:rFonts w:ascii="Calibri" w:hAnsi="Calibri" w:cs="Times New Roman"/>
          <w:color w:val="000000"/>
        </w:rPr>
        <w:t>s objetos de análise são, recorrentemente, as práticas organizacionais, com uma visão reducionista do mundo social. Por outro lado, a</w:t>
      </w:r>
      <w:r w:rsidR="00143693">
        <w:rPr>
          <w:rFonts w:ascii="Calibri" w:hAnsi="Calibri" w:cs="Times New Roman"/>
          <w:color w:val="000000"/>
        </w:rPr>
        <w:t>dmitir que</w:t>
      </w:r>
      <w:r w:rsidR="00C13583">
        <w:rPr>
          <w:rFonts w:ascii="Calibri" w:hAnsi="Calibri" w:cs="Times New Roman"/>
          <w:color w:val="000000"/>
        </w:rPr>
        <w:t xml:space="preserve"> a prática de Relações Públicas não </w:t>
      </w:r>
      <w:r w:rsidR="00143693">
        <w:rPr>
          <w:rFonts w:ascii="Calibri" w:hAnsi="Calibri" w:cs="Times New Roman"/>
          <w:color w:val="000000"/>
        </w:rPr>
        <w:t>é</w:t>
      </w:r>
      <w:r w:rsidR="00C13583">
        <w:rPr>
          <w:rFonts w:ascii="Calibri" w:hAnsi="Calibri" w:cs="Times New Roman"/>
          <w:color w:val="000000"/>
        </w:rPr>
        <w:t xml:space="preserve"> altruísta</w:t>
      </w:r>
      <w:r w:rsidR="00143693">
        <w:rPr>
          <w:rFonts w:ascii="Calibri" w:hAnsi="Calibri" w:cs="Times New Roman"/>
          <w:color w:val="000000"/>
        </w:rPr>
        <w:t xml:space="preserve"> e sim sempre interessada não a torna menor nem menos importante do ponto de vista do </w:t>
      </w:r>
      <w:r w:rsidR="00AB479E">
        <w:rPr>
          <w:rFonts w:ascii="Calibri" w:hAnsi="Calibri" w:cs="Times New Roman"/>
          <w:color w:val="000000"/>
        </w:rPr>
        <w:t xml:space="preserve">seu </w:t>
      </w:r>
      <w:r w:rsidR="00143693">
        <w:rPr>
          <w:rFonts w:ascii="Calibri" w:hAnsi="Calibri" w:cs="Times New Roman"/>
          <w:color w:val="000000"/>
        </w:rPr>
        <w:t>potencial de contribuição para o estudo</w:t>
      </w:r>
      <w:r w:rsidR="00AB479E">
        <w:rPr>
          <w:rFonts w:ascii="Calibri" w:hAnsi="Calibri" w:cs="Times New Roman"/>
          <w:color w:val="000000"/>
        </w:rPr>
        <w:t xml:space="preserve"> e transformação</w:t>
      </w:r>
      <w:r w:rsidR="00143693">
        <w:rPr>
          <w:rFonts w:ascii="Calibri" w:hAnsi="Calibri" w:cs="Times New Roman"/>
          <w:color w:val="000000"/>
        </w:rPr>
        <w:t xml:space="preserve"> da sociedade contemporânea</w:t>
      </w:r>
      <w:r w:rsidR="00C13583">
        <w:rPr>
          <w:rFonts w:ascii="Calibri" w:hAnsi="Calibri" w:cs="Times New Roman"/>
          <w:color w:val="000000"/>
        </w:rPr>
        <w:t xml:space="preserve">. </w:t>
      </w:r>
      <w:r w:rsidR="00002192">
        <w:rPr>
          <w:rFonts w:ascii="Calibri" w:hAnsi="Calibri" w:cs="Times New Roman"/>
          <w:color w:val="000000"/>
        </w:rPr>
        <w:t>Pelo contrário, t</w:t>
      </w:r>
      <w:r w:rsidR="00AB479E">
        <w:rPr>
          <w:rFonts w:ascii="Calibri" w:hAnsi="Calibri" w:cs="Times New Roman"/>
          <w:color w:val="000000"/>
        </w:rPr>
        <w:t xml:space="preserve">ais reflexões, </w:t>
      </w:r>
      <w:r w:rsidR="00002192">
        <w:rPr>
          <w:rFonts w:ascii="Calibri" w:hAnsi="Calibri" w:cs="Times New Roman"/>
          <w:color w:val="000000"/>
        </w:rPr>
        <w:t>que assumem o capital</w:t>
      </w:r>
      <w:r w:rsidR="009A54EA">
        <w:rPr>
          <w:rFonts w:ascii="Calibri" w:hAnsi="Calibri" w:cs="Times New Roman"/>
          <w:color w:val="000000"/>
        </w:rPr>
        <w:t xml:space="preserve"> </w:t>
      </w:r>
      <w:r w:rsidR="00002192">
        <w:rPr>
          <w:rFonts w:ascii="Calibri" w:hAnsi="Calibri" w:cs="Times New Roman"/>
          <w:color w:val="000000"/>
        </w:rPr>
        <w:t xml:space="preserve">e </w:t>
      </w:r>
      <w:r w:rsidR="009A54EA">
        <w:rPr>
          <w:rFonts w:ascii="Calibri" w:hAnsi="Calibri" w:cs="Times New Roman"/>
          <w:color w:val="000000"/>
        </w:rPr>
        <w:t>a</w:t>
      </w:r>
      <w:r w:rsidR="00002192">
        <w:rPr>
          <w:rFonts w:ascii="Calibri" w:hAnsi="Calibri" w:cs="Times New Roman"/>
          <w:color w:val="000000"/>
        </w:rPr>
        <w:t xml:space="preserve">s dimensões antidemocráticas </w:t>
      </w:r>
      <w:r w:rsidR="00E2768F">
        <w:rPr>
          <w:rFonts w:ascii="Calibri" w:hAnsi="Calibri" w:cs="Times New Roman"/>
          <w:color w:val="000000"/>
        </w:rPr>
        <w:t>como vetores fundamentais de análise</w:t>
      </w:r>
      <w:r w:rsidR="00B57215">
        <w:rPr>
          <w:rFonts w:ascii="Calibri" w:hAnsi="Calibri" w:cs="Times New Roman"/>
          <w:color w:val="000000"/>
        </w:rPr>
        <w:t>,</w:t>
      </w:r>
      <w:r w:rsidR="00E2768F">
        <w:rPr>
          <w:rFonts w:ascii="Calibri" w:hAnsi="Calibri" w:cs="Times New Roman"/>
          <w:color w:val="000000"/>
        </w:rPr>
        <w:t xml:space="preserve"> parecem-nos mais frutíferas </w:t>
      </w:r>
      <w:r w:rsidR="00095BA6">
        <w:rPr>
          <w:rFonts w:ascii="Calibri" w:hAnsi="Calibri" w:cs="Times New Roman"/>
          <w:color w:val="000000"/>
        </w:rPr>
        <w:t>para, no atual estágio dos estudos da área, fortalecer a discussão e a atuação das Relações Públicas.</w:t>
      </w:r>
    </w:p>
    <w:p w14:paraId="0EF8502E" w14:textId="55990440"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b/>
          <w:bCs/>
          <w:color w:val="000000"/>
        </w:rPr>
        <w:t xml:space="preserve">2.2. O maior </w:t>
      </w:r>
      <w:r w:rsidR="00E97C84">
        <w:rPr>
          <w:rFonts w:ascii="Calibri" w:hAnsi="Calibri" w:cs="Times New Roman"/>
          <w:b/>
          <w:bCs/>
          <w:color w:val="000000"/>
        </w:rPr>
        <w:t>desastre</w:t>
      </w:r>
      <w:r w:rsidRPr="00EA0F0F">
        <w:rPr>
          <w:rFonts w:ascii="Calibri" w:hAnsi="Calibri" w:cs="Times New Roman"/>
          <w:b/>
          <w:bCs/>
          <w:color w:val="000000"/>
        </w:rPr>
        <w:t xml:space="preserve"> ambiental do Brasil</w:t>
      </w:r>
    </w:p>
    <w:p w14:paraId="1C563BCB" w14:textId="4AC2ED3C" w:rsidR="00EA0F0F" w:rsidRPr="00EA0F0F" w:rsidRDefault="00EA0F0F" w:rsidP="00830674">
      <w:pPr>
        <w:spacing w:after="200" w:line="360" w:lineRule="auto"/>
        <w:jc w:val="both"/>
        <w:rPr>
          <w:rFonts w:ascii="Times" w:hAnsi="Times" w:cs="Times New Roman"/>
          <w:sz w:val="20"/>
          <w:szCs w:val="20"/>
        </w:rPr>
      </w:pPr>
      <w:r w:rsidRPr="00EA0F0F">
        <w:rPr>
          <w:rFonts w:ascii="Times" w:hAnsi="Times" w:cs="Times New Roman"/>
          <w:sz w:val="20"/>
          <w:szCs w:val="20"/>
        </w:rPr>
        <w:t> </w:t>
      </w:r>
      <w:r w:rsidRPr="00EA0F0F">
        <w:rPr>
          <w:rFonts w:ascii="Calibri" w:hAnsi="Calibri" w:cs="Times New Roman"/>
          <w:color w:val="000000"/>
        </w:rPr>
        <w:t xml:space="preserve">O Estado de Minas Gerais localiza-se na região sudeste do Brasil e possui grande parte da sua economia centrada na extração de </w:t>
      </w:r>
      <w:r w:rsidRPr="00EA0F0F">
        <w:rPr>
          <w:rFonts w:ascii="Calibri" w:hAnsi="Calibri" w:cs="Times New Roman"/>
          <w:i/>
          <w:iCs/>
          <w:color w:val="000000"/>
        </w:rPr>
        <w:t>commodities</w:t>
      </w:r>
      <w:r w:rsidRPr="00EA0F0F">
        <w:rPr>
          <w:rFonts w:ascii="Calibri" w:hAnsi="Calibri" w:cs="Times New Roman"/>
          <w:color w:val="000000"/>
        </w:rPr>
        <w:t xml:space="preserve"> por possuir diversas reservas minerais. O próprio nome do Estado já fornece indícios da riqueza mineral de suas terras. Uma das regiões de grande exploração de minério de ferro é o  Vale do Rio Doce, região da bacia hidrográfica do Rio Doce cuja extensão é de 853 km e que banha os estados de Minas Gerais e Espírito Santo. As minas de ferro da região são, portanto, importantes atores da economia regional, operando à base de elevado grau de mecanização e equipamentos pesados, sendo empreendimentos de grandes empresas, que geram emprego e renda para comunidades que vêem sua realidade pacata transformada com a operação das mineradoras. As duas principais empresas do setor que atuam na bacia são a Vale S.A. e a Samarco Mineração S.A, as duas maiores produtoras de minério de ferro do país, segundo a Agência Nacional da Água (ANA, 2016). </w:t>
      </w:r>
    </w:p>
    <w:p w14:paraId="3340AEAB"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De acordo com a Lei n° 12.334/2010 vigente no Brasil e que estabeleceu a Política Nacional de Segurança de Barragens (PNSB), são de inteira responsabilidade do empreendedor a manutenção das condições que garantam a segurança da barragem, bem como a responsabilidade por eventuais impactos decorrentes de algum tipo de dano a ela associado, como vazamento, rompimento, infiltração ou mau funcionamento. É de extrema importância que o empreendedor mantenha a integridade estrutural e operacional da barragem de forma a preservar a vida, a saúde, a propriedade e o meio ambiente porque falhas possuem grande potencial de colocar vidas em risco e promover catastróficos impactos econômicos, sociais e ambientais. </w:t>
      </w:r>
    </w:p>
    <w:p w14:paraId="53799A61"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Foi o que ocorreu no dia 5 de novembro de 2015, quando uma das estruturas pertencentes à Samarco se rompeu, no município de Mariana, Estado de Minas Gerais, matando dezenove pessoas, destruindo três distritos no entorno e deixando um rastro de mais de 650 quilômetros do Rio Doce cobertos pela lama de rejeito de minério, até atingir sua foz, no estado do Espírito Santo, alcançando o Oceano Atlântico. A dramática extensão dos impactos decorrentes do rompimento da barragem da mineradora Samarco ampliou a controvérsia sobre a atividade, mobilizou a opinião pública e colocou em questão os limites dos interesses econômicos privados sobrepondo-se a aspectos de segurança e compromisso ambiental mais amplos, da sociedade. O rompimento da barragem de rejeitos de Fundão, na zona rural da cidade histórica de Mariana, é considerado a maior tragédia ambiental do Brasil, segundo a ANA (2016). </w:t>
      </w:r>
    </w:p>
    <w:p w14:paraId="7B246748" w14:textId="6A4501DC"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Responsável pela geração de cerca de 300 mil empregos diretos e 5% do Produto Interno Bruto do país, o equivalente a US$ 40 bilhões por ano, o setor de mineração no Brasil produz 72 substâncias minerais. Embora a maior parte da atividade seja desenvolvida por micro e pequenas empresas, como produtores de brita e areia, o país abriga as principais (e maiores) mineradoras do mundo (dentre as quais a Vale, acionista da Samarco), com significativos investimentos em tecnologia não apenas para sua área produtiva, mas, também, nas áreas ambiental e social, de modo a atender a legislação brasileira. Contudo, as mineradoras ressentem da indisposição de parte da sociedade brasileira com o segmento, alargada com o </w:t>
      </w:r>
      <w:r w:rsidR="00E97C84">
        <w:rPr>
          <w:rFonts w:ascii="Calibri" w:hAnsi="Calibri" w:cs="Times New Roman"/>
          <w:color w:val="000000"/>
        </w:rPr>
        <w:t>desastre</w:t>
      </w:r>
      <w:r w:rsidRPr="00EA0F0F">
        <w:rPr>
          <w:rFonts w:ascii="Calibri" w:hAnsi="Calibri" w:cs="Times New Roman"/>
          <w:color w:val="000000"/>
        </w:rPr>
        <w:t xml:space="preserve"> em Mariana, associando-o a uma indústria extrativista de alto risco no que tange aos impactos ambiental e social. Neste sentido, o setor de mineração tem buscado, a partir  de ações de comunicação, aumentar o conhecimento sobre suas práticas e </w:t>
      </w:r>
      <w:r w:rsidRPr="00EA0F0F">
        <w:rPr>
          <w:rFonts w:ascii="Calibri" w:hAnsi="Calibri" w:cs="Times New Roman"/>
          <w:i/>
          <w:iCs/>
          <w:color w:val="000000"/>
        </w:rPr>
        <w:t>ressignificar</w:t>
      </w:r>
      <w:r w:rsidRPr="00EA0F0F">
        <w:rPr>
          <w:rFonts w:ascii="Calibri" w:hAnsi="Calibri" w:cs="Times New Roman"/>
          <w:color w:val="000000"/>
        </w:rPr>
        <w:t xml:space="preserve"> sua imagem, com uma agenda positiva em torno da atividade, como o 6º Prêmio Universitário Aberje/PUA (2016)</w:t>
      </w:r>
      <w:r w:rsidRPr="00EA0F0F">
        <w:rPr>
          <w:rFonts w:ascii="Calibri" w:hAnsi="Calibri" w:cs="Times New Roman"/>
          <w:color w:val="000000"/>
          <w:sz w:val="14"/>
          <w:szCs w:val="14"/>
          <w:vertAlign w:val="superscript"/>
        </w:rPr>
        <w:t xml:space="preserve"> </w:t>
      </w:r>
      <w:r w:rsidRPr="00EA0F0F">
        <w:rPr>
          <w:rFonts w:ascii="Calibri" w:hAnsi="Calibri" w:cs="Times New Roman"/>
          <w:color w:val="000000"/>
        </w:rPr>
        <w:t xml:space="preserve">cujo tema foi </w:t>
      </w:r>
      <w:r w:rsidRPr="00EA0F0F">
        <w:rPr>
          <w:rFonts w:ascii="Calibri" w:hAnsi="Calibri" w:cs="Times New Roman"/>
          <w:i/>
          <w:iCs/>
          <w:color w:val="000000"/>
        </w:rPr>
        <w:t>Atividade essencial para o desenvolvimento da sociedade: a indústria da mineração é mais do que o que você vê</w:t>
      </w:r>
      <w:r w:rsidRPr="00EA0F0F">
        <w:rPr>
          <w:rFonts w:ascii="Calibri" w:hAnsi="Calibri" w:cs="Times New Roman"/>
          <w:b/>
          <w:bCs/>
          <w:color w:val="000000"/>
        </w:rPr>
        <w:t xml:space="preserve">. </w:t>
      </w:r>
    </w:p>
    <w:p w14:paraId="3E9B3283" w14:textId="6BD63CF2"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O esforço empreendido pelo setor da mineração constitui-se essencialmente em um problema de Relações Públicas, na tentativa de ressignificar o segmento construindo uma opinião pública favorável sobre si. Trataremos, pois, de analisar algumas práticas levadas a cabo neste processo, </w:t>
      </w:r>
      <w:r w:rsidR="00095BA6">
        <w:rPr>
          <w:rFonts w:ascii="Calibri" w:hAnsi="Calibri" w:cs="Times New Roman"/>
          <w:color w:val="000000"/>
        </w:rPr>
        <w:t xml:space="preserve">buscando evidenciar os limites </w:t>
      </w:r>
      <w:r w:rsidRPr="00EA0F0F">
        <w:rPr>
          <w:rFonts w:ascii="Calibri" w:hAnsi="Calibri" w:cs="Times New Roman"/>
          <w:color w:val="000000"/>
        </w:rPr>
        <w:t xml:space="preserve">da teoria da excelência </w:t>
      </w:r>
      <w:r w:rsidR="00095BA6">
        <w:rPr>
          <w:rFonts w:ascii="Calibri" w:hAnsi="Calibri" w:cs="Times New Roman"/>
          <w:color w:val="000000"/>
        </w:rPr>
        <w:t xml:space="preserve">não para verificar a eficiência (ou não) das ações </w:t>
      </w:r>
      <w:r w:rsidRPr="00EA0F0F">
        <w:rPr>
          <w:rFonts w:ascii="Calibri" w:hAnsi="Calibri" w:cs="Times New Roman"/>
          <w:color w:val="000000"/>
        </w:rPr>
        <w:t>de comunicação organizacional</w:t>
      </w:r>
      <w:r w:rsidR="00095BA6">
        <w:rPr>
          <w:rFonts w:ascii="Calibri" w:hAnsi="Calibri" w:cs="Times New Roman"/>
          <w:color w:val="000000"/>
        </w:rPr>
        <w:t xml:space="preserve"> empreendidas pela empresa responsável pelo desastre mas, antes, da complexa dinâmica de enfrentamentos políticos e discursivos que permeiam suas relações, em momento de crise e extrema vulnerabilidade institucional</w:t>
      </w:r>
      <w:r w:rsidRPr="00EA0F0F">
        <w:rPr>
          <w:rFonts w:ascii="Calibri" w:hAnsi="Calibri" w:cs="Times New Roman"/>
          <w:color w:val="000000"/>
        </w:rPr>
        <w:t xml:space="preserve">. </w:t>
      </w:r>
    </w:p>
    <w:p w14:paraId="0CABA896" w14:textId="65CDD632" w:rsidR="00EA0F0F" w:rsidRPr="00EA0F0F" w:rsidRDefault="00EA0F0F" w:rsidP="00830674">
      <w:pPr>
        <w:spacing w:after="200" w:line="360" w:lineRule="auto"/>
        <w:jc w:val="both"/>
        <w:rPr>
          <w:rFonts w:ascii="Times" w:hAnsi="Times" w:cs="Times New Roman"/>
          <w:sz w:val="20"/>
          <w:szCs w:val="20"/>
        </w:rPr>
      </w:pPr>
      <w:r w:rsidRPr="00EA0F0F">
        <w:rPr>
          <w:rFonts w:ascii="Times" w:hAnsi="Times" w:cs="Times New Roman"/>
          <w:sz w:val="20"/>
          <w:szCs w:val="20"/>
        </w:rPr>
        <w:t> </w:t>
      </w:r>
      <w:r w:rsidRPr="00EA0F0F">
        <w:rPr>
          <w:rFonts w:ascii="Calibri" w:hAnsi="Calibri" w:cs="Times New Roman"/>
          <w:b/>
          <w:bCs/>
          <w:color w:val="000000"/>
        </w:rPr>
        <w:t>3. METODOLOGIA</w:t>
      </w:r>
    </w:p>
    <w:p w14:paraId="306F3AFD"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O percurso metodológico revisou os estudos originais e atualizados de Grunig, bem como as principais críticas recebidas desde sua proposição, além de levantamento de dados secundários que nos permitisse o acompanhamento do processo iniciado pela indústria de mineração com vistas à melhoria da opinião pública do segmento no Brasil, após o rompimento da barragem em Mariana. Para a presente análise, foram eleitos dois documentos: um balanço de ações da Samarco sobre o acontecimento, intitulado</w:t>
      </w:r>
      <w:r w:rsidRPr="00EA0F0F">
        <w:rPr>
          <w:rFonts w:ascii="Calibri" w:hAnsi="Calibri" w:cs="Times New Roman"/>
          <w:i/>
          <w:iCs/>
          <w:color w:val="000000"/>
        </w:rPr>
        <w:t xml:space="preserve"> Um ano do rompimento de Fundão</w:t>
      </w:r>
      <w:r w:rsidRPr="00EA0F0F">
        <w:rPr>
          <w:rFonts w:ascii="Calibri" w:hAnsi="Calibri" w:cs="Times New Roman"/>
          <w:color w:val="000000"/>
        </w:rPr>
        <w:t xml:space="preserve"> e, o outro, um parecer do Grupo de Estudos em Temáticas Ambientais – GESTA, sobre o</w:t>
      </w:r>
      <w:r w:rsidRPr="00EA0F0F">
        <w:rPr>
          <w:rFonts w:ascii="Calibri" w:hAnsi="Calibri" w:cs="Times New Roman"/>
          <w:i/>
          <w:iCs/>
          <w:color w:val="000000"/>
        </w:rPr>
        <w:t xml:space="preserve"> Cadastro Integrado do Programa de Levantamento e Cadastro dos Impactados (PLCI) elaborado pelas empresas Samarco e Synergia Consultoria Ambiental.</w:t>
      </w:r>
      <w:r w:rsidRPr="00EA0F0F">
        <w:rPr>
          <w:rFonts w:ascii="Calibri" w:hAnsi="Calibri" w:cs="Times New Roman"/>
          <w:color w:val="000000"/>
        </w:rPr>
        <w:t xml:space="preserve"> Dos documentos, foram selecionados enxertos que, no recorte analítico eleito, comporão um quadro contextual da situação relatada. O esforço integra uma pesquisa de maior abrangência e desencadeará, em momento seguinte, trabalho de campo para coleta de dados primários cujo objetivo é que permitam, a partir de análise empírica e crítica sobre os pressupostos da teoria da excelência, lançar uma proposição sobre a prática de relações públicas no contexto contemporâneo. </w:t>
      </w:r>
    </w:p>
    <w:p w14:paraId="3636D41A" w14:textId="6265851D"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O rompimento da barragem de Fundão foi considerado pela Bowker Associates (2015), consultoria de gestão de riscos dos Estados Unidos, o maior desastre do gênero do mundo considerando três fatores: o volume de lama vazado (de 50 a 60 milhões de metros cúbicos), o percurso atingido (650 km) e o prejuízo estimado (U$ 5 bilhões). O </w:t>
      </w:r>
      <w:r w:rsidR="00E97C84">
        <w:rPr>
          <w:rFonts w:ascii="Calibri" w:hAnsi="Calibri" w:cs="Times New Roman"/>
          <w:color w:val="000000"/>
        </w:rPr>
        <w:t>desastre</w:t>
      </w:r>
      <w:r w:rsidRPr="00EA0F0F">
        <w:rPr>
          <w:rFonts w:ascii="Calibri" w:hAnsi="Calibri" w:cs="Times New Roman"/>
          <w:color w:val="000000"/>
        </w:rPr>
        <w:t xml:space="preserve"> ainda reverbera de forma singular em espaços variados e inusitados, como no recente desfile da Escola de Samba Portela, no carnaval do Rio de Janeiro, em fevereiro deste ano, onde uma parte da apresentação, que prestava homenagem aos rios do mundo, foi dedicada ao Rio Doce representando sua tristeza e lamento, de forma crítica, dos afetados após a contaminação pela lama da tragédia de Mariana. Essa reverberação do </w:t>
      </w:r>
      <w:r w:rsidR="00E97C84">
        <w:rPr>
          <w:rFonts w:ascii="Calibri" w:hAnsi="Calibri" w:cs="Times New Roman"/>
          <w:color w:val="000000"/>
        </w:rPr>
        <w:t>desastre</w:t>
      </w:r>
      <w:r w:rsidRPr="00EA0F0F">
        <w:rPr>
          <w:rFonts w:ascii="Calibri" w:hAnsi="Calibri" w:cs="Times New Roman"/>
          <w:color w:val="000000"/>
        </w:rPr>
        <w:t xml:space="preserve">, mesmo após mais de um ano, ocorre porque causou celeumas diversas, inclusive entre as instituições responsáveis pela apuração do incidente, resultando em propostas de mudanças na legislação que regula a atividade, novos modos de produção mais seguros e sustentáveis. </w:t>
      </w:r>
    </w:p>
    <w:p w14:paraId="7073BB44" w14:textId="56519795"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Na perspectiva comunicacional, poder-se-ia dizer que o acontecimento envolvendo a Samarco fragilizou o posicionamento do segmento, cuja base, até então, era a sustentabilidade e segurança das operações, como acentuado no site da empresa Vale: “a sustentabilidade é um dos pilares estratégicos da Vale, fundamentada no conceito de que só há desenvolvimento sustentável quando a empresa e a sociedade trabalham juntas, compartilhando o valor gerado com suas partes interessadas” (Vale, 2015: 13). O conceito de acontecimento nos é especialmente caro na narrativa do </w:t>
      </w:r>
      <w:r w:rsidR="00E97C84">
        <w:rPr>
          <w:rFonts w:ascii="Calibri" w:hAnsi="Calibri" w:cs="Times New Roman"/>
          <w:color w:val="000000"/>
        </w:rPr>
        <w:t>desastre</w:t>
      </w:r>
      <w:r w:rsidRPr="00EA0F0F">
        <w:rPr>
          <w:rFonts w:ascii="Calibri" w:hAnsi="Calibri" w:cs="Times New Roman"/>
          <w:color w:val="000000"/>
        </w:rPr>
        <w:t>, uma vez que marca uma ruptura, uma afetação profunda nos sujeitos, instaurando novos presentes ou, recorrendo a Simões (2012), marca</w:t>
      </w:r>
      <w:r w:rsidR="00BA2BC9">
        <w:rPr>
          <w:rFonts w:ascii="Calibri" w:hAnsi="Calibri" w:cs="Times New Roman"/>
          <w:color w:val="000000"/>
        </w:rPr>
        <w:t>ndo</w:t>
      </w:r>
      <w:r w:rsidRPr="00EA0F0F">
        <w:rPr>
          <w:rFonts w:ascii="Calibri" w:hAnsi="Calibri" w:cs="Times New Roman"/>
          <w:color w:val="000000"/>
        </w:rPr>
        <w:t xml:space="preserve"> </w:t>
      </w:r>
      <w:r w:rsidR="00BA2BC9">
        <w:rPr>
          <w:rFonts w:ascii="Calibri" w:hAnsi="Calibri" w:cs="Times New Roman"/>
          <w:color w:val="000000"/>
        </w:rPr>
        <w:t>“</w:t>
      </w:r>
      <w:r w:rsidRPr="00EA0F0F">
        <w:rPr>
          <w:rFonts w:ascii="Calibri" w:hAnsi="Calibri" w:cs="Times New Roman"/>
          <w:color w:val="000000"/>
        </w:rPr>
        <w:t>o fim de um processo, o resultado de um encadeamento que ilumina o passado (reconstruindo-o) e projeta novos futuros, conferindo sentido a essas diferentes temporalidades” (S</w:t>
      </w:r>
      <w:r w:rsidR="00B464A5" w:rsidRPr="00EA0F0F">
        <w:rPr>
          <w:rFonts w:ascii="Calibri" w:hAnsi="Calibri" w:cs="Times New Roman"/>
          <w:color w:val="000000"/>
        </w:rPr>
        <w:t>imões</w:t>
      </w:r>
      <w:r w:rsidRPr="00EA0F0F">
        <w:rPr>
          <w:rFonts w:ascii="Calibri" w:hAnsi="Calibri" w:cs="Times New Roman"/>
          <w:color w:val="000000"/>
        </w:rPr>
        <w:t>, 2012: 91). Se, num primeiro momento, o acontecimento se caracteriza pela ruptura pela desorganização do presente, para sair do impasse suscita sentidos, faz pensar e buscar saídas (F</w:t>
      </w:r>
      <w:r w:rsidR="00B464A5" w:rsidRPr="00EA0F0F">
        <w:rPr>
          <w:rFonts w:ascii="Calibri" w:hAnsi="Calibri" w:cs="Times New Roman"/>
          <w:color w:val="000000"/>
        </w:rPr>
        <w:t>rança</w:t>
      </w:r>
      <w:r w:rsidRPr="00EA0F0F">
        <w:rPr>
          <w:rFonts w:ascii="Calibri" w:hAnsi="Calibri" w:cs="Times New Roman"/>
          <w:color w:val="000000"/>
        </w:rPr>
        <w:t xml:space="preserve">, 2012).  É o enfrentamento do acontecimento, a capacidade de o sujeito se posicionar frente ao acontecimento e o que ele impõe ou suscita, o que confere caráter pragmático ao fenômeno e, no caso em análise, nos ajuda a compreender as narrativas construídas pelos afetados sobre o  ocorrido. </w:t>
      </w:r>
    </w:p>
    <w:p w14:paraId="22E40708"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shd w:val="clear" w:color="auto" w:fill="FFFFFF"/>
        </w:rPr>
        <w:t>Nessa perspectiva, Charaudeau (2016) nos fala dos mecanismos envolvidos para influenciar e conquistar a opinião pública e a existência de motivos para que o sujeito manifeste sua opinião:</w:t>
      </w:r>
    </w:p>
    <w:p w14:paraId="20EE83F7" w14:textId="06DC8D60" w:rsidR="00EA0F0F" w:rsidRPr="00EA0F0F" w:rsidRDefault="00EA0F0F" w:rsidP="00830674">
      <w:pPr>
        <w:spacing w:after="200" w:line="360" w:lineRule="auto"/>
        <w:ind w:left="1132"/>
        <w:jc w:val="both"/>
        <w:rPr>
          <w:rFonts w:ascii="Times" w:hAnsi="Times" w:cs="Times New Roman"/>
          <w:sz w:val="20"/>
          <w:szCs w:val="20"/>
        </w:rPr>
      </w:pPr>
      <w:r w:rsidRPr="00EA0F0F">
        <w:rPr>
          <w:rFonts w:ascii="Calibri" w:hAnsi="Calibri" w:cs="Times New Roman"/>
          <w:color w:val="000000"/>
        </w:rPr>
        <w:t xml:space="preserve">é preciso que seja tocada por um acontecimento que lhe diga respeito de maneira vital, ou que seja solicitada a se pronunciar num debate de sociedade. A opinião não aparece </w:t>
      </w:r>
      <w:r w:rsidRPr="00EA0F0F">
        <w:rPr>
          <w:rFonts w:ascii="Calibri" w:hAnsi="Calibri" w:cs="Times New Roman"/>
          <w:i/>
          <w:iCs/>
          <w:color w:val="000000"/>
        </w:rPr>
        <w:t xml:space="preserve">ex nihilo, </w:t>
      </w:r>
      <w:r w:rsidRPr="00EA0F0F">
        <w:rPr>
          <w:rFonts w:ascii="Calibri" w:hAnsi="Calibri" w:cs="Times New Roman"/>
          <w:color w:val="000000"/>
        </w:rPr>
        <w:t>não preexiste ao surgimento dos acontecimentos, ela se constrói no próprio acontecimento. Trata-se então de uma opinião que depende, ao mesmo tempo, dos acontecimentos que se apresentam a ela e do grupo que a sustenta (C</w:t>
      </w:r>
      <w:r w:rsidR="00B464A5" w:rsidRPr="00EA0F0F">
        <w:rPr>
          <w:rFonts w:ascii="Calibri" w:hAnsi="Calibri" w:cs="Times New Roman"/>
          <w:color w:val="000000"/>
        </w:rPr>
        <w:t>haraudeau</w:t>
      </w:r>
      <w:r w:rsidRPr="00EA0F0F">
        <w:rPr>
          <w:rFonts w:ascii="Calibri" w:hAnsi="Calibri" w:cs="Times New Roman"/>
          <w:color w:val="000000"/>
        </w:rPr>
        <w:t>, 2016: 43).</w:t>
      </w:r>
    </w:p>
    <w:p w14:paraId="79496E33" w14:textId="62456F34"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Embora ressinta da indisposição de uma parte da sociedade com a atividade de mineração, ao que parece, estava em curso um modelo de convivência entre as organizações mineradoras e seus públicos. A opinião pública não era tão favorável à atividade, tampouco constituía-se em uma grande problemática. Com o episódio na Samarco, a situação tomou outras proporções, pois, embora frágeis, as bases que fundamentavam o posicionamento do segmento arrefeceram-se. “É seu caráter de incerteza que o torna apto a ser captado pela opinião. Daí surgirá uma interrogação que provoca uma busca de causalidade” (</w:t>
      </w:r>
      <w:r w:rsidRPr="00EA0F0F">
        <w:rPr>
          <w:rFonts w:ascii="Calibri" w:hAnsi="Calibri" w:cs="Times New Roman"/>
          <w:color w:val="000000"/>
          <w:shd w:val="clear" w:color="auto" w:fill="FFFFFF"/>
        </w:rPr>
        <w:t>C</w:t>
      </w:r>
      <w:r w:rsidR="00B464A5" w:rsidRPr="00EA0F0F">
        <w:rPr>
          <w:rFonts w:ascii="Calibri" w:hAnsi="Calibri" w:cs="Times New Roman"/>
          <w:color w:val="000000"/>
          <w:shd w:val="clear" w:color="auto" w:fill="FFFFFF"/>
        </w:rPr>
        <w:t>haraudeau</w:t>
      </w:r>
      <w:r w:rsidRPr="00EA0F0F">
        <w:rPr>
          <w:rFonts w:ascii="Calibri" w:hAnsi="Calibri" w:cs="Times New Roman"/>
          <w:color w:val="000000"/>
          <w:shd w:val="clear" w:color="auto" w:fill="FFFFFF"/>
        </w:rPr>
        <w:t>, 2016:</w:t>
      </w:r>
      <w:r w:rsidRPr="00EA0F0F">
        <w:rPr>
          <w:rFonts w:ascii="Calibri" w:hAnsi="Calibri" w:cs="Times New Roman"/>
          <w:color w:val="000000"/>
        </w:rPr>
        <w:t xml:space="preserve"> 46). Do ponto de vista comunicacional, convencer a população instalada à jusante dos empreendimentos mineradores sobre a segurança de uma barragem, de fato, tornou-se algo mais complicado, por conta </w:t>
      </w:r>
      <w:r w:rsidR="00722403">
        <w:rPr>
          <w:rFonts w:ascii="Calibri" w:hAnsi="Calibri" w:cs="Times New Roman"/>
          <w:color w:val="000000"/>
        </w:rPr>
        <w:t xml:space="preserve">da tragédia e </w:t>
      </w:r>
      <w:r w:rsidRPr="00EA0F0F">
        <w:rPr>
          <w:rFonts w:ascii="Calibri" w:hAnsi="Calibri" w:cs="Times New Roman"/>
          <w:color w:val="000000"/>
        </w:rPr>
        <w:t xml:space="preserve">da indisposição da comunidade em relação aos riscos da atividade de mineração. </w:t>
      </w:r>
    </w:p>
    <w:p w14:paraId="011DB4E1" w14:textId="1CC80A3D" w:rsidR="00EA0F0F" w:rsidRPr="00EA0F0F" w:rsidRDefault="00EA0F0F" w:rsidP="00830674">
      <w:pPr>
        <w:spacing w:after="200" w:line="360" w:lineRule="auto"/>
        <w:jc w:val="both"/>
        <w:rPr>
          <w:rFonts w:ascii="Times" w:hAnsi="Times" w:cs="Times New Roman"/>
          <w:sz w:val="20"/>
          <w:szCs w:val="20"/>
        </w:rPr>
      </w:pPr>
      <w:r w:rsidRPr="00EA0F0F">
        <w:rPr>
          <w:rFonts w:ascii="Times" w:hAnsi="Times" w:cs="Times New Roman"/>
          <w:sz w:val="20"/>
          <w:szCs w:val="20"/>
        </w:rPr>
        <w:t> </w:t>
      </w:r>
      <w:r w:rsidRPr="00EA0F0F">
        <w:rPr>
          <w:rFonts w:ascii="Calibri" w:hAnsi="Calibri" w:cs="Times New Roman"/>
          <w:b/>
          <w:bCs/>
          <w:color w:val="000000"/>
        </w:rPr>
        <w:t>4. RESULTADOS</w:t>
      </w:r>
    </w:p>
    <w:p w14:paraId="79521F6B" w14:textId="5C14F98C" w:rsidR="00EA0F0F" w:rsidRPr="00EA0F0F" w:rsidRDefault="00EA0F0F" w:rsidP="00B464A5">
      <w:pPr>
        <w:spacing w:after="200" w:line="360" w:lineRule="auto"/>
        <w:jc w:val="both"/>
        <w:rPr>
          <w:rFonts w:ascii="Times" w:hAnsi="Times" w:cs="Times New Roman"/>
          <w:sz w:val="20"/>
          <w:szCs w:val="20"/>
        </w:rPr>
      </w:pPr>
      <w:r w:rsidRPr="00EA0F0F">
        <w:rPr>
          <w:rFonts w:ascii="Calibri" w:hAnsi="Calibri" w:cs="Times New Roman"/>
          <w:color w:val="000000"/>
        </w:rPr>
        <w:t xml:space="preserve">Em seu </w:t>
      </w:r>
      <w:r w:rsidRPr="00EA0F0F">
        <w:rPr>
          <w:rFonts w:ascii="Calibri" w:hAnsi="Calibri" w:cs="Times New Roman"/>
          <w:i/>
          <w:iCs/>
          <w:color w:val="000000"/>
        </w:rPr>
        <w:t>Balanço de ações: um ano do rompimento de Fundão</w:t>
      </w:r>
      <w:r w:rsidRPr="00EA0F0F">
        <w:rPr>
          <w:rFonts w:ascii="Calibri" w:hAnsi="Calibri" w:cs="Times New Roman"/>
          <w:color w:val="000000"/>
        </w:rPr>
        <w:t>, a Samarco adota a linguagem técnica para construir sua narrativa do acontecimento. Descreve quantitativamente as atividades mitigatórias do caso em questão, desde o desastre de 05/11/2015, nas dimensões socioambiental e socioeconômica. Apresenta o Termo de Transação e de Ajustamento de Conduta (TTAC) como um instrumento apaziguador de interesses, por meio da pactuação de compromissos para a reparação dos danos causados. Também indica a criação da Fundação Renova, pela empresa, como órgão responsável pela condução dos programas de recuperação social, ambiental e econômica das regiões afetadas. A ênfase volta-se prioritariamente para os recursos econômicos investidos ou a investir (previsão até 2030), na ordem de 5 bilhões de reais.</w:t>
      </w:r>
    </w:p>
    <w:p w14:paraId="5E8C3CF0" w14:textId="2D0BEC7A"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No documento institucional, a Samarco expressa publicamente o pesar pelo ocorrido e assume o ônus pelo </w:t>
      </w:r>
      <w:r w:rsidR="00E97C84">
        <w:rPr>
          <w:rFonts w:ascii="Calibri" w:hAnsi="Calibri" w:cs="Times New Roman"/>
          <w:color w:val="000000"/>
        </w:rPr>
        <w:t>desastre</w:t>
      </w:r>
      <w:r w:rsidRPr="00EA0F0F">
        <w:rPr>
          <w:rFonts w:ascii="Calibri" w:hAnsi="Calibri" w:cs="Times New Roman"/>
          <w:color w:val="000000"/>
        </w:rPr>
        <w:t xml:space="preserve">, embora seu posicionamento seja defensivo, justificando seus atos como se não apenas cumprisse a contento com suas obrigações, mas estaria mesmo se antecipando e indo além de suas obrigações formais. </w:t>
      </w:r>
    </w:p>
    <w:p w14:paraId="450AA0C6" w14:textId="442B6BED" w:rsidR="00EA0F0F" w:rsidRPr="00EA0F0F" w:rsidRDefault="00EA0F0F" w:rsidP="00830674">
      <w:pPr>
        <w:spacing w:after="200" w:line="360" w:lineRule="auto"/>
        <w:ind w:left="1282"/>
        <w:jc w:val="both"/>
        <w:rPr>
          <w:rFonts w:ascii="Times" w:hAnsi="Times" w:cs="Times New Roman"/>
          <w:sz w:val="20"/>
          <w:szCs w:val="20"/>
        </w:rPr>
      </w:pPr>
      <w:r w:rsidRPr="00EA0F0F">
        <w:rPr>
          <w:rFonts w:ascii="Calibri" w:hAnsi="Calibri" w:cs="Times New Roman"/>
          <w:color w:val="000000"/>
        </w:rPr>
        <w:t>Lamentamos profundamente o rompimento da barragem de Fundão em novembro de 2015 e seus impactos sobre as comunidades e o meio ambiente. Entendemos que somos responsáveis pela enorme tarefa de tentar fazer o que é correto. Para reiterar esse compromisso, foi assinado, em março deste ano, um Termo de Transação e de Ajustamento de Conduta (TTAC) entre Samarco, suas acionistas, Vale e BHP Billiton, e os governos federal, dos estados de Minas Gerais e do Espírito Santo.(...) Antes mesmo da assinatura do TTAC, a empresa já vinha mobilizando todos os esforços necessários para o atendimento às pessoas impactadas e para a mitigação das consequências ambientais. Essas ações continuam e agora passam a integrar o termo (S</w:t>
      </w:r>
      <w:r w:rsidR="00B464A5" w:rsidRPr="00EA0F0F">
        <w:rPr>
          <w:rFonts w:ascii="Calibri" w:hAnsi="Calibri" w:cs="Times New Roman"/>
          <w:color w:val="000000"/>
        </w:rPr>
        <w:t>amarco</w:t>
      </w:r>
      <w:r w:rsidRPr="00EA0F0F">
        <w:rPr>
          <w:rFonts w:ascii="Calibri" w:hAnsi="Calibri" w:cs="Times New Roman"/>
          <w:color w:val="000000"/>
        </w:rPr>
        <w:t>, 2016: 3).</w:t>
      </w:r>
    </w:p>
    <w:p w14:paraId="43C6A0C0"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No mesmo documento, em seu final, a empresa dedica-se a apresentar de forma positiva os “impactos da Samarco na economia”, descrevendo os bilhões que ela investe e paga de impostos, gerando receita e renda para municípios, estados e o país. Segundo esses dados, em 2014 foram pagos, pela empresa, R$ 1,5 bilhão em impostos diretos. Mas parece que indicar tais dados não se faz suficiente e a empresa reforça sua força econômica através da dependência de seu capital pelos entes federativos da União, quando aponta em percentuais sua participação no total arrecadado pelos municípios.</w:t>
      </w:r>
      <w:r w:rsidRPr="00EA0F0F">
        <w:rPr>
          <w:rFonts w:ascii="Calibri" w:hAnsi="Calibri" w:cs="Times New Roman"/>
          <w:color w:val="000000"/>
        </w:rPr>
        <w:tab/>
      </w:r>
      <w:r w:rsidRPr="00EA0F0F">
        <w:rPr>
          <w:rFonts w:ascii="Calibri" w:hAnsi="Calibri" w:cs="Times New Roman"/>
          <w:color w:val="000000"/>
        </w:rPr>
        <w:tab/>
      </w:r>
    </w:p>
    <w:p w14:paraId="3611B0E7" w14:textId="13926143" w:rsidR="00EA0F0F" w:rsidRPr="00EA0F0F" w:rsidRDefault="00EA0F0F" w:rsidP="00830674">
      <w:pPr>
        <w:spacing w:after="200" w:line="360" w:lineRule="auto"/>
        <w:ind w:left="1282"/>
        <w:jc w:val="both"/>
        <w:rPr>
          <w:rFonts w:ascii="Times" w:hAnsi="Times" w:cs="Times New Roman"/>
          <w:sz w:val="20"/>
          <w:szCs w:val="20"/>
        </w:rPr>
      </w:pPr>
      <w:r w:rsidRPr="00EA0F0F">
        <w:rPr>
          <w:rFonts w:ascii="Calibri" w:hAnsi="Calibri" w:cs="Times New Roman"/>
          <w:color w:val="000000"/>
        </w:rPr>
        <w:t>R$ 32 milhões de impostos [foram] repassados à área de influência direta no Espírito Santo, equivalendo a 50% da receita do município de Anchieta [e que] R$ 50 milhões de impostos [foram] repassados à área de influência direta em Minas [Gerais], equivalendo a 54% da receita do município de Mariana e 35% da receita do município de Ouro Preto (S</w:t>
      </w:r>
      <w:r w:rsidR="00B464A5" w:rsidRPr="00EA0F0F">
        <w:rPr>
          <w:rFonts w:ascii="Calibri" w:hAnsi="Calibri" w:cs="Times New Roman"/>
          <w:color w:val="000000"/>
        </w:rPr>
        <w:t>amarco</w:t>
      </w:r>
      <w:r w:rsidRPr="00EA0F0F">
        <w:rPr>
          <w:rFonts w:ascii="Calibri" w:hAnsi="Calibri" w:cs="Times New Roman"/>
          <w:color w:val="000000"/>
        </w:rPr>
        <w:t xml:space="preserve">, 2016: 30). </w:t>
      </w:r>
      <w:r w:rsidRPr="00EA0F0F">
        <w:rPr>
          <w:rFonts w:ascii="Calibri" w:hAnsi="Calibri" w:cs="Times New Roman"/>
          <w:color w:val="000000"/>
        </w:rPr>
        <w:tab/>
      </w:r>
      <w:r w:rsidRPr="00EA0F0F">
        <w:rPr>
          <w:rFonts w:ascii="Calibri" w:hAnsi="Calibri" w:cs="Times New Roman"/>
          <w:color w:val="000000"/>
        </w:rPr>
        <w:tab/>
      </w:r>
      <w:r w:rsidRPr="00EA0F0F">
        <w:rPr>
          <w:rFonts w:ascii="Calibri" w:hAnsi="Calibri" w:cs="Times New Roman"/>
          <w:color w:val="000000"/>
        </w:rPr>
        <w:tab/>
      </w:r>
      <w:r w:rsidRPr="00EA0F0F">
        <w:rPr>
          <w:rFonts w:ascii="Calibri" w:hAnsi="Calibri" w:cs="Times New Roman"/>
          <w:color w:val="000000"/>
        </w:rPr>
        <w:tab/>
      </w:r>
    </w:p>
    <w:p w14:paraId="5FBC6EE0"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Com tais enxertos, percebemos que a organização</w:t>
      </w:r>
      <w:r w:rsidR="00A91F4E">
        <w:rPr>
          <w:rFonts w:ascii="Calibri" w:hAnsi="Calibri" w:cs="Times New Roman"/>
          <w:color w:val="000000"/>
        </w:rPr>
        <w:t>, ao posicionar-se como socialmente responsável, em verdade</w:t>
      </w:r>
      <w:r w:rsidRPr="00EA0F0F">
        <w:rPr>
          <w:rFonts w:ascii="Calibri" w:hAnsi="Calibri" w:cs="Times New Roman"/>
          <w:color w:val="000000"/>
        </w:rPr>
        <w:t xml:space="preserve"> marca, em seu discurso, a assimetria que posiciona os sujeitos afetados pelo acontecimento: a força da empresa, agente, de um lado; e a fragilidade dos afetados, os </w:t>
      </w:r>
      <w:r w:rsidRPr="00EA0F0F">
        <w:rPr>
          <w:rFonts w:ascii="Calibri" w:hAnsi="Calibri" w:cs="Times New Roman"/>
          <w:i/>
          <w:iCs/>
          <w:color w:val="000000"/>
        </w:rPr>
        <w:t xml:space="preserve">atingidos, </w:t>
      </w:r>
      <w:r w:rsidRPr="00EA0F0F">
        <w:rPr>
          <w:rFonts w:ascii="Calibri" w:hAnsi="Calibri" w:cs="Times New Roman"/>
          <w:color w:val="000000"/>
        </w:rPr>
        <w:t>de outro e que o principal vetor dessa assimetria é a força do capital e a dependência econômica entre eles. Deste modo, poder-se-ia advogar que a apresentação de tais dados em um contexto de prestação de contas das ações de reparação dos danos causados pela própria empresa, em cumprimento a uma legislação e em ações que não extrapolam em nada as suas responsabilidades, constitui-se num ato de covardia e chantagem.</w:t>
      </w:r>
    </w:p>
    <w:p w14:paraId="5AF662DC"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Os dados apresentados em sequência vão na mesma direção, apresentando os efeitos da interrupção das operações da Samarco, desde novembro de 2015: em um ano de recessão econômica cuja previsão sobre o PIB do Brasil era de recuo em 3,6%, salienta-se que a posição do estado do Espírito Santo (área de influência direta da empresa), apresentaria uma retração econômica ainda maior, atingindo uma taxa de 6,4% (ou seja, recuando quase 80% a mais do que a média do Brasil). Para justificar tal desempenho, tais informações são cruzadas com os dados dos empregos da Samarco, apontando que 40% de suas posições de trabalho tiveram que ser reduzidos, em adequação à nova realidade.</w:t>
      </w:r>
    </w:p>
    <w:p w14:paraId="393B89CF" w14:textId="34C224F2"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Já a nota técnica emitida pelo GESTA avalia os procedimentos metodológicos utilizados na elaboração do questionário formulado pela empresa e sua contratada para cadastro dos impactados pelo </w:t>
      </w:r>
      <w:r w:rsidR="00E97C84">
        <w:rPr>
          <w:rFonts w:ascii="Calibri" w:hAnsi="Calibri" w:cs="Times New Roman"/>
          <w:color w:val="000000"/>
        </w:rPr>
        <w:t>desastre</w:t>
      </w:r>
      <w:r w:rsidRPr="00EA0F0F">
        <w:rPr>
          <w:rFonts w:ascii="Calibri" w:hAnsi="Calibri" w:cs="Times New Roman"/>
          <w:color w:val="000000"/>
        </w:rPr>
        <w:t xml:space="preserve">. A equipe do GESTA chama a atenção aos problemas de ordem conceitual que originaram uma série de incongruências no instrumento, como a confusão entre reparação e reconstrução. </w:t>
      </w:r>
      <w:r w:rsidR="00722403">
        <w:rPr>
          <w:rFonts w:ascii="Calibri" w:hAnsi="Calibri" w:cs="Times New Roman"/>
          <w:color w:val="000000"/>
        </w:rPr>
        <w:t>Le</w:t>
      </w:r>
      <w:r w:rsidRPr="00EA0F0F">
        <w:rPr>
          <w:rFonts w:ascii="Calibri" w:hAnsi="Calibri" w:cs="Times New Roman"/>
          <w:color w:val="000000"/>
        </w:rPr>
        <w:t>mbram os autores</w:t>
      </w:r>
      <w:r w:rsidR="00722403">
        <w:rPr>
          <w:rFonts w:ascii="Calibri" w:hAnsi="Calibri" w:cs="Times New Roman"/>
          <w:color w:val="000000"/>
        </w:rPr>
        <w:t xml:space="preserve"> que</w:t>
      </w:r>
      <w:r w:rsidR="00722403" w:rsidRPr="00EA0F0F">
        <w:rPr>
          <w:rFonts w:ascii="Calibri" w:hAnsi="Calibri" w:cs="Times New Roman"/>
          <w:color w:val="000000"/>
        </w:rPr>
        <w:t xml:space="preserve"> </w:t>
      </w:r>
      <w:r w:rsidRPr="00EA0F0F">
        <w:rPr>
          <w:rFonts w:ascii="Calibri" w:hAnsi="Calibri" w:cs="Times New Roman"/>
          <w:color w:val="000000"/>
        </w:rPr>
        <w:t xml:space="preserve">"a literatura sociológica, geográfica e antropológica sobre desastres acentua que os processos de recuperação não se confundem com as políticas de reparação, pois a reconstrução não se limita à restituição dos aspectos físicos e materiais afetados e tampouco à reposição de infraestrutura e renda” (GESTA, 2016: 9). Para Nigg (1995, apud GESTA, 2016: 75), a reconstrução não refere-se apenas à "restauração da estrutura física, de modo a se constituir menos como um problema técnico e mais como um processo social que está assentado sobre a estrutura e as formas de organização dos grupos afetados.” </w:t>
      </w:r>
    </w:p>
    <w:p w14:paraId="3C2295A7"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Mais que este aspecto, chama a atenção a preocupação excessiva da empresa com a restituição da propriedade patrimonial, certamente guiada por pressões legais. A dimensão humana das famílias afetadas não é contemplada no instrumento que se mostra superficial para tal análise, já que o cadastramento individualizado foi feito para aplicação por questionário e vistoria técnica, ou seja, inventariando as propriedades impactadas. Assim, a equipe observa a ênfase única nos bens materiais e a </w:t>
      </w:r>
    </w:p>
    <w:p w14:paraId="15D3FE23" w14:textId="330E2B3D" w:rsidR="00EA0F0F" w:rsidRPr="00EA0F0F" w:rsidRDefault="00EA0F0F" w:rsidP="00830674">
      <w:pPr>
        <w:spacing w:after="200" w:line="360" w:lineRule="auto"/>
        <w:ind w:left="1267" w:hanging="15"/>
        <w:jc w:val="both"/>
        <w:rPr>
          <w:rFonts w:ascii="Times" w:hAnsi="Times" w:cs="Times New Roman"/>
          <w:sz w:val="20"/>
          <w:szCs w:val="20"/>
        </w:rPr>
      </w:pPr>
      <w:r w:rsidRPr="00EA0F0F">
        <w:rPr>
          <w:rFonts w:ascii="Calibri" w:hAnsi="Calibri" w:cs="Times New Roman"/>
          <w:color w:val="000000"/>
        </w:rPr>
        <w:t>inexistência de mecanismos ou ferramentas que permitam recolher informações acerca da organização social e cultural das famílias. Conforme argumentamos ao longo deste parecer, as comunidades e grupos sociais não são considerados enquanto esferas coletivas de existência, não figuram no cadastramento como instâncias de organização social compostas por redes, valores e práticas específicas que foram sev</w:t>
      </w:r>
      <w:r w:rsidR="00BB4986">
        <w:rPr>
          <w:rFonts w:ascii="Calibri" w:hAnsi="Calibri" w:cs="Times New Roman"/>
          <w:color w:val="000000"/>
        </w:rPr>
        <w:t>eramente afetadas pelo desastre</w:t>
      </w:r>
      <w:r w:rsidRPr="00EA0F0F">
        <w:rPr>
          <w:rFonts w:ascii="Calibri" w:hAnsi="Calibri" w:cs="Times New Roman"/>
          <w:color w:val="000000"/>
        </w:rPr>
        <w:t xml:space="preserve"> (G</w:t>
      </w:r>
      <w:r w:rsidR="00BB4986" w:rsidRPr="00EA0F0F">
        <w:rPr>
          <w:rFonts w:ascii="Calibri" w:hAnsi="Calibri" w:cs="Times New Roman"/>
          <w:color w:val="000000"/>
        </w:rPr>
        <w:t>ESTA</w:t>
      </w:r>
      <w:r w:rsidRPr="00EA0F0F">
        <w:rPr>
          <w:rFonts w:ascii="Calibri" w:hAnsi="Calibri" w:cs="Times New Roman"/>
          <w:color w:val="000000"/>
        </w:rPr>
        <w:t>, 2016: 10)</w:t>
      </w:r>
      <w:r w:rsidR="00BB4986">
        <w:rPr>
          <w:rFonts w:ascii="Calibri" w:hAnsi="Calibri" w:cs="Times New Roman"/>
          <w:color w:val="000000"/>
        </w:rPr>
        <w:t>.</w:t>
      </w:r>
      <w:r w:rsidRPr="00EA0F0F">
        <w:rPr>
          <w:rFonts w:ascii="Calibri" w:hAnsi="Calibri" w:cs="Times New Roman"/>
          <w:color w:val="000000"/>
        </w:rPr>
        <w:t xml:space="preserve"> (...) Nessa medida, observa-se que o referencial para ordenamento dos dados e análise está centrado na propriedade/edificação e não nas famílias, enquanto unidades componentes da organização social afetada. As famílias aparecem na proposta de indexação na qu</w:t>
      </w:r>
      <w:r w:rsidR="00BB4986">
        <w:rPr>
          <w:rFonts w:ascii="Calibri" w:hAnsi="Calibri" w:cs="Times New Roman"/>
          <w:color w:val="000000"/>
        </w:rPr>
        <w:t>alidade de usuárias dos imóveis</w:t>
      </w:r>
      <w:r w:rsidRPr="00EA0F0F">
        <w:rPr>
          <w:rFonts w:ascii="Calibri" w:hAnsi="Calibri" w:cs="Times New Roman"/>
          <w:color w:val="000000"/>
        </w:rPr>
        <w:t xml:space="preserve"> (G</w:t>
      </w:r>
      <w:r w:rsidR="00BB4986" w:rsidRPr="00EA0F0F">
        <w:rPr>
          <w:rFonts w:ascii="Calibri" w:hAnsi="Calibri" w:cs="Times New Roman"/>
          <w:color w:val="000000"/>
        </w:rPr>
        <w:t>ESTA</w:t>
      </w:r>
      <w:r w:rsidRPr="00EA0F0F">
        <w:rPr>
          <w:rFonts w:ascii="Calibri" w:hAnsi="Calibri" w:cs="Times New Roman"/>
          <w:color w:val="000000"/>
        </w:rPr>
        <w:t>, 2016: 11)</w:t>
      </w:r>
      <w:r w:rsidR="00BB4986">
        <w:rPr>
          <w:rFonts w:ascii="Calibri" w:hAnsi="Calibri" w:cs="Times New Roman"/>
          <w:color w:val="000000"/>
        </w:rPr>
        <w:t>.</w:t>
      </w:r>
    </w:p>
    <w:p w14:paraId="00C94FB9" w14:textId="48825AD6"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Outro ponto de relevo refere-se ao conceito de </w:t>
      </w:r>
      <w:r w:rsidRPr="00EA0F0F">
        <w:rPr>
          <w:rFonts w:ascii="Calibri" w:hAnsi="Calibri" w:cs="Times New Roman"/>
          <w:i/>
          <w:iCs/>
          <w:color w:val="000000"/>
        </w:rPr>
        <w:t xml:space="preserve">evento </w:t>
      </w:r>
      <w:r w:rsidRPr="00EA0F0F">
        <w:rPr>
          <w:rFonts w:ascii="Calibri" w:hAnsi="Calibri" w:cs="Times New Roman"/>
          <w:color w:val="000000"/>
        </w:rPr>
        <w:t>utilizado no instrumento, que provocou estranheza e indignação para alguns atingidos, entendido como um afronta, um ultraje pelo eufemismo inapropriado para a denominação de uma tragédia. Desvela-se mais um problema conceitual aqui, visto que a noção de desastre, considerada mais apropriada para o acontecimento, é apontada pelos autores como um fato que não se esgota com a situação crítica que o derivou, mas prolonga-se no tempo e espaço "por períodos prolongados e em instâncias e escalas diversas da vida social, ambiental, política, econômic</w:t>
      </w:r>
      <w:r w:rsidR="00BB4986">
        <w:rPr>
          <w:rFonts w:ascii="Calibri" w:hAnsi="Calibri" w:cs="Times New Roman"/>
          <w:color w:val="000000"/>
        </w:rPr>
        <w:t>a, institucional, entre outras"</w:t>
      </w:r>
      <w:r w:rsidRPr="00EA0F0F">
        <w:rPr>
          <w:rFonts w:ascii="Calibri" w:hAnsi="Calibri" w:cs="Times New Roman"/>
          <w:color w:val="000000"/>
        </w:rPr>
        <w:t xml:space="preserve"> (G</w:t>
      </w:r>
      <w:r w:rsidR="00BB4986" w:rsidRPr="00EA0F0F">
        <w:rPr>
          <w:rFonts w:ascii="Calibri" w:hAnsi="Calibri" w:cs="Times New Roman"/>
          <w:color w:val="000000"/>
        </w:rPr>
        <w:t>ESTA</w:t>
      </w:r>
      <w:r w:rsidRPr="00EA0F0F">
        <w:rPr>
          <w:rFonts w:ascii="Calibri" w:hAnsi="Calibri" w:cs="Times New Roman"/>
          <w:color w:val="000000"/>
        </w:rPr>
        <w:t>, 2016: 14)</w:t>
      </w:r>
      <w:r w:rsidR="00BB4986">
        <w:rPr>
          <w:rFonts w:ascii="Calibri" w:hAnsi="Calibri" w:cs="Times New Roman"/>
          <w:color w:val="000000"/>
        </w:rPr>
        <w:t>.</w:t>
      </w:r>
    </w:p>
    <w:p w14:paraId="460418DD"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Desse modo, fica mais evidente ainda a inapropriação de uma sequência de questões - “Houve afetação/impacto? A situação foi reestabelecida? Como foi reestabelecida?” -, uma vez que a tarefa de identificar, elaborar e prever os processos que integram e que ainda se desdobram (sendo, por vezes, duradouros), dificilmente poderiam ser categorizados em uma matriz de impactos que os classificaria pela duração, alcance e magnitude. </w:t>
      </w:r>
    </w:p>
    <w:p w14:paraId="263ABA05" w14:textId="79E41201" w:rsidR="00EA0F0F" w:rsidRPr="00EA0F0F" w:rsidRDefault="00EA0F0F" w:rsidP="00830674">
      <w:pPr>
        <w:spacing w:after="200" w:line="360" w:lineRule="auto"/>
        <w:ind w:left="1282"/>
        <w:jc w:val="both"/>
        <w:rPr>
          <w:rFonts w:ascii="Times" w:hAnsi="Times" w:cs="Times New Roman"/>
          <w:sz w:val="20"/>
          <w:szCs w:val="20"/>
        </w:rPr>
      </w:pPr>
      <w:r w:rsidRPr="00EA0F0F">
        <w:rPr>
          <w:rFonts w:ascii="Calibri" w:hAnsi="Calibri" w:cs="Times New Roman"/>
          <w:color w:val="000000"/>
        </w:rPr>
        <w:t xml:space="preserve">Segundo sublinhamos, nos casos de desastres, as afetações não se confundem com “impactos”, já que as consequências permanecem enquanto o desastre, como processo, é experimentado pelo grupo social (Valencio, 2014). É, também nesse sentido, que a fixação do marco temporal “na data </w:t>
      </w:r>
      <w:r w:rsidR="00BB4986">
        <w:rPr>
          <w:rFonts w:ascii="Calibri" w:hAnsi="Calibri" w:cs="Times New Roman"/>
          <w:color w:val="000000"/>
        </w:rPr>
        <w:t>do evento” é tornada perniciosa</w:t>
      </w:r>
      <w:r w:rsidRPr="00EA0F0F">
        <w:rPr>
          <w:rFonts w:ascii="Calibri" w:hAnsi="Calibri" w:cs="Times New Roman"/>
          <w:color w:val="000000"/>
        </w:rPr>
        <w:t xml:space="preserve"> (G</w:t>
      </w:r>
      <w:r w:rsidR="00BB4986" w:rsidRPr="00EA0F0F">
        <w:rPr>
          <w:rFonts w:ascii="Calibri" w:hAnsi="Calibri" w:cs="Times New Roman"/>
          <w:color w:val="000000"/>
        </w:rPr>
        <w:t>ESTA</w:t>
      </w:r>
      <w:r w:rsidRPr="00EA0F0F">
        <w:rPr>
          <w:rFonts w:ascii="Calibri" w:hAnsi="Calibri" w:cs="Times New Roman"/>
          <w:color w:val="000000"/>
        </w:rPr>
        <w:t>, 2016: 13)</w:t>
      </w:r>
      <w:r w:rsidR="00BB4986">
        <w:rPr>
          <w:rFonts w:ascii="Calibri" w:hAnsi="Calibri" w:cs="Times New Roman"/>
          <w:color w:val="000000"/>
        </w:rPr>
        <w:t>.</w:t>
      </w:r>
    </w:p>
    <w:p w14:paraId="13D6DBC8" w14:textId="3D93B0F1" w:rsidR="00062769" w:rsidRDefault="00062769" w:rsidP="00830674">
      <w:pPr>
        <w:spacing w:after="200" w:line="360" w:lineRule="auto"/>
        <w:jc w:val="both"/>
        <w:rPr>
          <w:rFonts w:ascii="Calibri" w:hAnsi="Calibri" w:cs="Times New Roman"/>
          <w:color w:val="000000"/>
        </w:rPr>
      </w:pPr>
      <w:r>
        <w:rPr>
          <w:rFonts w:ascii="Calibri" w:hAnsi="Calibri" w:cs="Times New Roman"/>
          <w:color w:val="000000"/>
        </w:rPr>
        <w:t xml:space="preserve">Do ponto de vista comunicacional, se concordamos que discursos engendram práticas e conformam realidades, problematizamos os equívocos conceituais como elementos que não devem ser naturalizados e sim, numa visada analítica crítica, evidenciado como pontos reveladores de intenções. É nesse sentido que </w:t>
      </w:r>
      <w:r w:rsidR="00AC3D5A">
        <w:rPr>
          <w:rFonts w:ascii="Calibri" w:hAnsi="Calibri" w:cs="Times New Roman"/>
          <w:color w:val="000000"/>
        </w:rPr>
        <w:t>retomamos a discussão</w:t>
      </w:r>
      <w:r w:rsidR="0092706A">
        <w:rPr>
          <w:rFonts w:ascii="Calibri" w:hAnsi="Calibri" w:cs="Times New Roman"/>
          <w:color w:val="000000"/>
        </w:rPr>
        <w:t xml:space="preserve"> inicial </w:t>
      </w:r>
      <w:r w:rsidR="0092706A" w:rsidRPr="00EA0F0F">
        <w:rPr>
          <w:rFonts w:ascii="Calibri" w:hAnsi="Calibri" w:cs="Times New Roman"/>
          <w:color w:val="000000"/>
        </w:rPr>
        <w:t>sobre o modelo ideal normativo hegemônico das Relações Públicas</w:t>
      </w:r>
      <w:r w:rsidR="0092706A">
        <w:rPr>
          <w:rFonts w:ascii="Calibri" w:hAnsi="Calibri" w:cs="Times New Roman"/>
          <w:color w:val="000000"/>
        </w:rPr>
        <w:t xml:space="preserve">. </w:t>
      </w:r>
      <w:r w:rsidR="006F5E3D">
        <w:rPr>
          <w:rFonts w:ascii="Calibri" w:hAnsi="Calibri" w:cs="Times New Roman"/>
          <w:color w:val="000000"/>
        </w:rPr>
        <w:t xml:space="preserve">Os estudos que tomam a </w:t>
      </w:r>
      <w:r w:rsidR="00E97C84">
        <w:rPr>
          <w:rFonts w:ascii="Calibri" w:hAnsi="Calibri" w:cs="Times New Roman"/>
          <w:color w:val="000000"/>
        </w:rPr>
        <w:t xml:space="preserve">noção de </w:t>
      </w:r>
      <w:r w:rsidR="0092706A">
        <w:rPr>
          <w:rFonts w:ascii="Calibri" w:hAnsi="Calibri" w:cs="Times New Roman"/>
          <w:color w:val="000000"/>
        </w:rPr>
        <w:t xml:space="preserve">relação </w:t>
      </w:r>
      <w:r w:rsidR="0092706A" w:rsidRPr="00EA0F0F">
        <w:rPr>
          <w:rFonts w:ascii="Calibri" w:hAnsi="Calibri" w:cs="Times New Roman"/>
          <w:color w:val="000000"/>
        </w:rPr>
        <w:t>sim</w:t>
      </w:r>
      <w:r w:rsidR="0092706A">
        <w:rPr>
          <w:rFonts w:ascii="Calibri" w:hAnsi="Calibri" w:cs="Times New Roman"/>
          <w:color w:val="000000"/>
        </w:rPr>
        <w:t>é</w:t>
      </w:r>
      <w:r w:rsidR="0092706A" w:rsidRPr="00EA0F0F">
        <w:rPr>
          <w:rFonts w:ascii="Calibri" w:hAnsi="Calibri" w:cs="Times New Roman"/>
          <w:color w:val="000000"/>
        </w:rPr>
        <w:t>tri</w:t>
      </w:r>
      <w:r w:rsidR="00E97C84">
        <w:rPr>
          <w:rFonts w:ascii="Calibri" w:hAnsi="Calibri" w:cs="Times New Roman"/>
          <w:color w:val="000000"/>
        </w:rPr>
        <w:t>c</w:t>
      </w:r>
      <w:r w:rsidR="0092706A">
        <w:rPr>
          <w:rFonts w:ascii="Calibri" w:hAnsi="Calibri" w:cs="Times New Roman"/>
          <w:color w:val="000000"/>
        </w:rPr>
        <w:t>a</w:t>
      </w:r>
      <w:r w:rsidR="0092706A" w:rsidRPr="00EA0F0F">
        <w:rPr>
          <w:rFonts w:ascii="Calibri" w:hAnsi="Calibri" w:cs="Times New Roman"/>
          <w:color w:val="000000"/>
        </w:rPr>
        <w:t xml:space="preserve"> de mão dupla</w:t>
      </w:r>
      <w:r w:rsidR="0092706A">
        <w:rPr>
          <w:rFonts w:ascii="Calibri" w:hAnsi="Calibri" w:cs="Times New Roman"/>
          <w:color w:val="000000"/>
        </w:rPr>
        <w:t xml:space="preserve"> </w:t>
      </w:r>
      <w:r w:rsidR="00E97C84">
        <w:rPr>
          <w:rFonts w:ascii="Calibri" w:hAnsi="Calibri" w:cs="Times New Roman"/>
          <w:color w:val="000000"/>
        </w:rPr>
        <w:t>como</w:t>
      </w:r>
      <w:r w:rsidR="00F67467">
        <w:rPr>
          <w:rFonts w:ascii="Calibri" w:hAnsi="Calibri" w:cs="Times New Roman"/>
          <w:color w:val="000000"/>
        </w:rPr>
        <w:t xml:space="preserve"> não somente possível </w:t>
      </w:r>
      <w:r w:rsidR="00E97C84">
        <w:rPr>
          <w:rFonts w:ascii="Calibri" w:hAnsi="Calibri" w:cs="Times New Roman"/>
          <w:color w:val="000000"/>
        </w:rPr>
        <w:t>mas</w:t>
      </w:r>
      <w:r w:rsidR="006F5E3D">
        <w:rPr>
          <w:rFonts w:ascii="Calibri" w:hAnsi="Calibri" w:cs="Times New Roman"/>
          <w:color w:val="000000"/>
        </w:rPr>
        <w:t xml:space="preserve"> </w:t>
      </w:r>
      <w:r w:rsidR="00E97C84">
        <w:rPr>
          <w:rFonts w:ascii="Calibri" w:hAnsi="Calibri" w:cs="Times New Roman"/>
          <w:color w:val="000000"/>
        </w:rPr>
        <w:t>um verdadeiro</w:t>
      </w:r>
      <w:r w:rsidR="00F67467">
        <w:rPr>
          <w:rFonts w:ascii="Calibri" w:hAnsi="Calibri" w:cs="Times New Roman"/>
          <w:color w:val="000000"/>
        </w:rPr>
        <w:t xml:space="preserve"> </w:t>
      </w:r>
      <w:r w:rsidR="006F5E3D">
        <w:rPr>
          <w:rFonts w:ascii="Calibri" w:hAnsi="Calibri" w:cs="Times New Roman"/>
          <w:color w:val="000000"/>
        </w:rPr>
        <w:t xml:space="preserve">paradigma </w:t>
      </w:r>
      <w:r w:rsidR="00F67467">
        <w:rPr>
          <w:rFonts w:ascii="Calibri" w:hAnsi="Calibri" w:cs="Times New Roman"/>
          <w:color w:val="000000"/>
        </w:rPr>
        <w:t xml:space="preserve">ético </w:t>
      </w:r>
      <w:r w:rsidR="006F5E3D">
        <w:rPr>
          <w:rFonts w:ascii="Calibri" w:hAnsi="Calibri" w:cs="Times New Roman"/>
          <w:color w:val="000000"/>
        </w:rPr>
        <w:t>das práticas de comunicação organizacional</w:t>
      </w:r>
      <w:r w:rsidR="00E97C84">
        <w:rPr>
          <w:rFonts w:ascii="Calibri" w:hAnsi="Calibri" w:cs="Times New Roman"/>
          <w:color w:val="000000"/>
        </w:rPr>
        <w:t>,</w:t>
      </w:r>
      <w:r w:rsidR="006F5E3D">
        <w:rPr>
          <w:rFonts w:ascii="Calibri" w:hAnsi="Calibri" w:cs="Times New Roman"/>
          <w:color w:val="000000"/>
        </w:rPr>
        <w:t xml:space="preserve"> tendem </w:t>
      </w:r>
      <w:r w:rsidR="00E97C84">
        <w:rPr>
          <w:rFonts w:ascii="Calibri" w:hAnsi="Calibri" w:cs="Times New Roman"/>
          <w:color w:val="000000"/>
        </w:rPr>
        <w:t xml:space="preserve">a </w:t>
      </w:r>
      <w:r w:rsidR="00E97C84" w:rsidRPr="00EA0F0F">
        <w:rPr>
          <w:rFonts w:ascii="Calibri" w:hAnsi="Calibri" w:cs="Times New Roman"/>
          <w:color w:val="000000"/>
        </w:rPr>
        <w:t>escamotea</w:t>
      </w:r>
      <w:r w:rsidR="00E97C84">
        <w:rPr>
          <w:rFonts w:ascii="Calibri" w:hAnsi="Calibri" w:cs="Times New Roman"/>
          <w:color w:val="000000"/>
        </w:rPr>
        <w:t>r</w:t>
      </w:r>
      <w:r w:rsidR="00E97C84" w:rsidRPr="00EA0F0F">
        <w:rPr>
          <w:rFonts w:ascii="Calibri" w:hAnsi="Calibri" w:cs="Times New Roman"/>
          <w:color w:val="000000"/>
        </w:rPr>
        <w:t xml:space="preserve"> as forças persuasivas, as assimetrias e os jogos de coerção que fazem parte de suas práticas</w:t>
      </w:r>
      <w:r w:rsidR="00E97C84">
        <w:rPr>
          <w:rFonts w:ascii="Calibri" w:hAnsi="Calibri" w:cs="Times New Roman"/>
          <w:color w:val="000000"/>
        </w:rPr>
        <w:t>. Neste sentido,</w:t>
      </w:r>
      <w:r w:rsidR="0092706A" w:rsidRPr="00EA0F0F">
        <w:rPr>
          <w:rFonts w:ascii="Calibri" w:hAnsi="Calibri" w:cs="Times New Roman"/>
          <w:color w:val="000000"/>
        </w:rPr>
        <w:t xml:space="preserve"> o caso do maior </w:t>
      </w:r>
      <w:r w:rsidR="00E97C84">
        <w:rPr>
          <w:rFonts w:ascii="Calibri" w:hAnsi="Calibri" w:cs="Times New Roman"/>
          <w:color w:val="000000"/>
        </w:rPr>
        <w:t>desastre</w:t>
      </w:r>
      <w:r w:rsidR="0092706A" w:rsidRPr="00EA0F0F">
        <w:rPr>
          <w:rFonts w:ascii="Calibri" w:hAnsi="Calibri" w:cs="Times New Roman"/>
          <w:color w:val="000000"/>
        </w:rPr>
        <w:t xml:space="preserve"> ambiental do Brasil, </w:t>
      </w:r>
      <w:r w:rsidR="00E97C84">
        <w:rPr>
          <w:rFonts w:ascii="Calibri" w:hAnsi="Calibri" w:cs="Times New Roman"/>
          <w:color w:val="000000"/>
        </w:rPr>
        <w:t xml:space="preserve">de responsabilidade </w:t>
      </w:r>
      <w:r w:rsidR="0092706A" w:rsidRPr="00EA0F0F">
        <w:rPr>
          <w:rFonts w:ascii="Calibri" w:hAnsi="Calibri" w:cs="Times New Roman"/>
          <w:color w:val="000000"/>
        </w:rPr>
        <w:t xml:space="preserve">da Samarco Mineração S.A., </w:t>
      </w:r>
      <w:r w:rsidR="00E97C84">
        <w:rPr>
          <w:rFonts w:ascii="Calibri" w:hAnsi="Calibri" w:cs="Times New Roman"/>
          <w:color w:val="000000"/>
        </w:rPr>
        <w:t>trouxe</w:t>
      </w:r>
      <w:r w:rsidR="0092706A" w:rsidRPr="00EA0F0F">
        <w:rPr>
          <w:rFonts w:ascii="Calibri" w:hAnsi="Calibri" w:cs="Times New Roman"/>
          <w:color w:val="000000"/>
        </w:rPr>
        <w:t xml:space="preserve"> impactos pessoais, sociais, ambientais e econômicos</w:t>
      </w:r>
      <w:r w:rsidR="00E97C84">
        <w:rPr>
          <w:rFonts w:ascii="Calibri" w:hAnsi="Calibri" w:cs="Times New Roman"/>
          <w:color w:val="000000"/>
        </w:rPr>
        <w:t xml:space="preserve"> que muito extrapolam o âmbito organizacional e demonstram a necessidade de romper com as proposições teóricas ensimesmadas que </w:t>
      </w:r>
      <w:r w:rsidR="004422F2">
        <w:rPr>
          <w:rFonts w:ascii="Calibri" w:hAnsi="Calibri" w:cs="Times New Roman"/>
          <w:color w:val="000000"/>
        </w:rPr>
        <w:t>centralizam a organização e seus objetivos em suas análises. Se a empiria aponta para uma realidade complexa, para uma arena discursiva e positiva de interesses difusos e contraditórios, não parece salutar que a teoria, na contramão, proponha um ideário</w:t>
      </w:r>
      <w:r w:rsidR="00B87144">
        <w:rPr>
          <w:rFonts w:ascii="Calibri" w:hAnsi="Calibri" w:cs="Times New Roman"/>
          <w:color w:val="000000"/>
        </w:rPr>
        <w:t xml:space="preserve"> onde interesses se encontram pelo diálogo e forças se equilibram por negociações. Tal quimera, já que</w:t>
      </w:r>
      <w:r w:rsidR="004422F2">
        <w:rPr>
          <w:rFonts w:ascii="Calibri" w:hAnsi="Calibri" w:cs="Times New Roman"/>
          <w:color w:val="000000"/>
        </w:rPr>
        <w:t xml:space="preserve"> inalcançável</w:t>
      </w:r>
      <w:r w:rsidR="00937612">
        <w:rPr>
          <w:rFonts w:ascii="Calibri" w:hAnsi="Calibri" w:cs="Times New Roman"/>
          <w:color w:val="000000"/>
        </w:rPr>
        <w:t>, desvia o foco de questões problemáticas para as relações públicas e de análises que efetivamente possam contribuir para transformações sociais mais amplas</w:t>
      </w:r>
      <w:r w:rsidR="00B57215">
        <w:rPr>
          <w:rFonts w:ascii="Calibri" w:hAnsi="Calibri" w:cs="Times New Roman"/>
          <w:color w:val="000000"/>
        </w:rPr>
        <w:t xml:space="preserve"> (para muito além da prática profissional nas organizações)</w:t>
      </w:r>
      <w:r w:rsidR="004422F2">
        <w:rPr>
          <w:rFonts w:ascii="Calibri" w:hAnsi="Calibri" w:cs="Times New Roman"/>
          <w:color w:val="000000"/>
        </w:rPr>
        <w:t xml:space="preserve">. </w:t>
      </w:r>
    </w:p>
    <w:p w14:paraId="6AA5F48D" w14:textId="65F7DBB3"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b/>
          <w:bCs/>
          <w:color w:val="000000"/>
        </w:rPr>
        <w:t>5. DISCUSSÃO E CONCLUSÕES</w:t>
      </w:r>
    </w:p>
    <w:p w14:paraId="7BA3B9BC" w14:textId="1710344E"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O desastre ambiental ocasionado pelo rompimento de uma barragem de minério em Mariana foi tomado neste estudo como um problema de Relações Públicas que, como tal, engendra um quadro conflituoso de interesses difusos e divergentes, envolvendo múltiplos atores sociais que têm sua experiência no mundo entrecruzada por este acontecimento e os desdobramentos que dele derivam ou venham a derivar. Como visto, o desastre</w:t>
      </w:r>
      <w:r w:rsidR="00E97C84">
        <w:rPr>
          <w:rFonts w:ascii="Calibri" w:hAnsi="Calibri" w:cs="Times New Roman"/>
          <w:color w:val="000000"/>
        </w:rPr>
        <w:t xml:space="preserve"> – tratado pelo discurso organizacional como acidente -</w:t>
      </w:r>
      <w:r w:rsidRPr="00EA0F0F">
        <w:rPr>
          <w:rFonts w:ascii="Calibri" w:hAnsi="Calibri" w:cs="Times New Roman"/>
          <w:color w:val="000000"/>
        </w:rPr>
        <w:t>, deve ser entendido como um processo e não um evento pontual cujos impactos podem ser facilmente mensurados e reparados. Trata-se, antes, de uma reconfiguração holística da vida, não apenas pela amplitude da tragédia, mas pela profundidade das mudanças que passam a marcar o processo de re-existir no mundo, um novo mundo que precisa ser ressignificado pelas pessoas atingidas em suas relações familiares, comunitárias, subjetivas e objetivas.  </w:t>
      </w:r>
    </w:p>
    <w:p w14:paraId="53194C72" w14:textId="63B34663"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Diante disso, tentamos analisar a prática das relações públicas à luz dos modelos teóricos hegemônicos, </w:t>
      </w:r>
      <w:r w:rsidR="00937612">
        <w:rPr>
          <w:rFonts w:ascii="Calibri" w:hAnsi="Calibri" w:cs="Times New Roman"/>
          <w:color w:val="000000"/>
        </w:rPr>
        <w:t xml:space="preserve">a teoria da excelência </w:t>
      </w:r>
      <w:r w:rsidR="00937612" w:rsidRPr="00EA0F0F">
        <w:rPr>
          <w:rFonts w:ascii="Calibri" w:hAnsi="Calibri" w:cs="Times New Roman"/>
          <w:color w:val="000000"/>
        </w:rPr>
        <w:t>propost</w:t>
      </w:r>
      <w:r w:rsidR="00937612">
        <w:rPr>
          <w:rFonts w:ascii="Calibri" w:hAnsi="Calibri" w:cs="Times New Roman"/>
          <w:color w:val="000000"/>
        </w:rPr>
        <w:t>a</w:t>
      </w:r>
      <w:r w:rsidR="00937612" w:rsidRPr="00EA0F0F">
        <w:rPr>
          <w:rFonts w:ascii="Calibri" w:hAnsi="Calibri" w:cs="Times New Roman"/>
          <w:color w:val="000000"/>
        </w:rPr>
        <w:t xml:space="preserve"> </w:t>
      </w:r>
      <w:r w:rsidRPr="00EA0F0F">
        <w:rPr>
          <w:rFonts w:ascii="Calibri" w:hAnsi="Calibri" w:cs="Times New Roman"/>
          <w:color w:val="000000"/>
        </w:rPr>
        <w:t>por Grunig e Hunt (1984). Ora, é certo que, para cumprir a legislação brasileira no tocante às suas operações, a Samarco é demandada a realizar uma série de práticas reativas ao desastre de sua responsabilidade. Suas pautas, pelas dimensões que o acontecimento toma, são necessariamente de interesse público e, neste sentido, abrem à empresa a possibilidade e o desafio que, ultrapassando em muito a esfera comunicacional, não pode dela prescindir como condição básica para se posicionar frente à opinião pública e negociar com os afetados pela tragédia os rumos de suas vidas.</w:t>
      </w:r>
    </w:p>
    <w:p w14:paraId="0C9681AA"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Nossas indagações</w:t>
      </w:r>
      <w:r w:rsidR="00937612">
        <w:rPr>
          <w:rFonts w:ascii="Calibri" w:hAnsi="Calibri" w:cs="Times New Roman"/>
          <w:color w:val="000000"/>
        </w:rPr>
        <w:t>, como exposto,</w:t>
      </w:r>
      <w:r w:rsidRPr="00EA0F0F">
        <w:rPr>
          <w:rFonts w:ascii="Calibri" w:hAnsi="Calibri" w:cs="Times New Roman"/>
          <w:color w:val="000000"/>
        </w:rPr>
        <w:t xml:space="preserve"> vão no sentido de questionar, baseado em um caso concreto e complexo, sobre a adequação de um modelo teórico que prega a excelência organizacional com base na simetria entre os atores e na possibilidade de diálogo (de "mão dupla") entre as partes. Fica claro pelas análises feitas</w:t>
      </w:r>
      <w:r w:rsidR="00937612">
        <w:rPr>
          <w:rFonts w:ascii="Calibri" w:hAnsi="Calibri" w:cs="Times New Roman"/>
          <w:color w:val="000000"/>
        </w:rPr>
        <w:t>, por exemplo,</w:t>
      </w:r>
      <w:r w:rsidRPr="00EA0F0F">
        <w:rPr>
          <w:rFonts w:ascii="Calibri" w:hAnsi="Calibri" w:cs="Times New Roman"/>
          <w:color w:val="000000"/>
        </w:rPr>
        <w:t xml:space="preserve"> como a pesquisa (no caso, o questionário utilizado pela empresa para coletar informações sobre os atingidos pelo rompimento das barragens) pode representar um perigoso instrumento de falseamento da realidade. </w:t>
      </w:r>
    </w:p>
    <w:p w14:paraId="04F91ED8" w14:textId="6FA02AB0" w:rsidR="00EA0F0F" w:rsidRDefault="00EA0F0F" w:rsidP="00830674">
      <w:pPr>
        <w:spacing w:after="200" w:line="360" w:lineRule="auto"/>
        <w:jc w:val="both"/>
        <w:rPr>
          <w:rFonts w:ascii="Calibri" w:hAnsi="Calibri" w:cs="Times New Roman"/>
          <w:color w:val="000000"/>
        </w:rPr>
      </w:pPr>
      <w:r w:rsidRPr="00EA0F0F">
        <w:rPr>
          <w:rFonts w:ascii="Calibri" w:hAnsi="Calibri" w:cs="Times New Roman"/>
          <w:color w:val="000000"/>
        </w:rPr>
        <w:t>Apresentamos enxertos de um instrumento de coleta de informações que, se pretensamente poderia levar a mudanças no comportamento da empresa, mostra-se altamente contaminado por seus interesses, de modo que os próprios dados coletados (e, principalmente, o uso que dele se fará) devem ser questionados em sua validade. Trata-se de um instrumento efetivo ou adequado de diálogo entre a organização e os públicos afetados?</w:t>
      </w:r>
      <w:r w:rsidR="00937612">
        <w:rPr>
          <w:rFonts w:ascii="Calibri" w:hAnsi="Calibri" w:cs="Times New Roman"/>
          <w:color w:val="000000"/>
        </w:rPr>
        <w:t xml:space="preserve"> </w:t>
      </w:r>
      <w:r w:rsidRPr="00EA0F0F">
        <w:rPr>
          <w:rFonts w:ascii="Calibri" w:hAnsi="Calibri" w:cs="Times New Roman"/>
          <w:color w:val="000000"/>
        </w:rPr>
        <w:t xml:space="preserve">Notamos que as organizações tendem a aplicar várias pesquisas, coletando dados utilizando um excesso de instrumentos na tentativa de conhecer melhor seus públicos . No entanto, percebe-se que o diálogo, como prescrito no modelo de mão dupla, é deixada de lado. Nota-se, no exemplo apresentado neste artigo, que a Samarco fez uso de um questionário para o cadastro dos atingidos pelo rompimento da barragem. Porém, na sua elaboração, a empresa nitidamente adotou posições ideológicas pré-concebidas, ignorando uma possível contribuição dos impactados para que esta coleta de dados fosse mais personalizada e adequada para a situação e não apenas um protocolo padrão funcional. </w:t>
      </w:r>
    </w:p>
    <w:p w14:paraId="6420EDE7" w14:textId="77777777" w:rsidR="00F45FA1" w:rsidRPr="00EA0F0F" w:rsidRDefault="00F45FA1" w:rsidP="00830674">
      <w:pPr>
        <w:spacing w:after="200" w:line="360" w:lineRule="auto"/>
        <w:jc w:val="both"/>
        <w:rPr>
          <w:rFonts w:ascii="Times" w:hAnsi="Times" w:cs="Times New Roman"/>
          <w:sz w:val="20"/>
          <w:szCs w:val="20"/>
        </w:rPr>
      </w:pPr>
      <w:r>
        <w:rPr>
          <w:rFonts w:ascii="Calibri" w:hAnsi="Calibri" w:cs="Times New Roman"/>
          <w:color w:val="000000"/>
        </w:rPr>
        <w:t xml:space="preserve">Uma análise funcional sobre tal instrumento poderia </w:t>
      </w:r>
      <w:r w:rsidR="001C0A52">
        <w:rPr>
          <w:rFonts w:ascii="Calibri" w:hAnsi="Calibri" w:cs="Times New Roman"/>
          <w:color w:val="000000"/>
        </w:rPr>
        <w:t>indic</w:t>
      </w:r>
      <w:r>
        <w:rPr>
          <w:rFonts w:ascii="Calibri" w:hAnsi="Calibri" w:cs="Times New Roman"/>
          <w:color w:val="000000"/>
        </w:rPr>
        <w:t xml:space="preserve">ar que, então, as práticas da organização não </w:t>
      </w:r>
      <w:r w:rsidR="00B57215">
        <w:rPr>
          <w:rFonts w:ascii="Calibri" w:hAnsi="Calibri" w:cs="Times New Roman"/>
          <w:color w:val="000000"/>
        </w:rPr>
        <w:t>são</w:t>
      </w:r>
      <w:r>
        <w:rPr>
          <w:rFonts w:ascii="Calibri" w:hAnsi="Calibri" w:cs="Times New Roman"/>
          <w:color w:val="000000"/>
        </w:rPr>
        <w:t xml:space="preserve"> simétrica</w:t>
      </w:r>
      <w:r w:rsidR="00B57215">
        <w:rPr>
          <w:rFonts w:ascii="Calibri" w:hAnsi="Calibri" w:cs="Times New Roman"/>
          <w:color w:val="000000"/>
        </w:rPr>
        <w:t>s</w:t>
      </w:r>
      <w:r>
        <w:rPr>
          <w:rFonts w:ascii="Calibri" w:hAnsi="Calibri" w:cs="Times New Roman"/>
          <w:color w:val="000000"/>
        </w:rPr>
        <w:t xml:space="preserve"> de mão dupla, mas estaria</w:t>
      </w:r>
      <w:r w:rsidR="00B57215">
        <w:rPr>
          <w:rFonts w:ascii="Calibri" w:hAnsi="Calibri" w:cs="Times New Roman"/>
          <w:color w:val="000000"/>
        </w:rPr>
        <w:t>m</w:t>
      </w:r>
      <w:r>
        <w:rPr>
          <w:rFonts w:ascii="Calibri" w:hAnsi="Calibri" w:cs="Times New Roman"/>
          <w:color w:val="000000"/>
        </w:rPr>
        <w:t xml:space="preserve"> num patamar anterior</w:t>
      </w:r>
      <w:r w:rsidR="00B57215">
        <w:rPr>
          <w:rFonts w:ascii="Calibri" w:hAnsi="Calibri" w:cs="Times New Roman"/>
          <w:color w:val="000000"/>
        </w:rPr>
        <w:t xml:space="preserve"> (ou inferior</w:t>
      </w:r>
      <w:r w:rsidR="00E12434">
        <w:rPr>
          <w:rFonts w:ascii="Calibri" w:hAnsi="Calibri" w:cs="Times New Roman"/>
          <w:color w:val="000000"/>
        </w:rPr>
        <w:t>, na escala evolutiva da teoria</w:t>
      </w:r>
      <w:r w:rsidR="00B57215">
        <w:rPr>
          <w:rFonts w:ascii="Calibri" w:hAnsi="Calibri" w:cs="Times New Roman"/>
          <w:color w:val="000000"/>
        </w:rPr>
        <w:t>)</w:t>
      </w:r>
      <w:r>
        <w:rPr>
          <w:rFonts w:ascii="Calibri" w:hAnsi="Calibri" w:cs="Times New Roman"/>
          <w:color w:val="000000"/>
        </w:rPr>
        <w:t>,</w:t>
      </w:r>
      <w:r w:rsidR="00B57215">
        <w:rPr>
          <w:rFonts w:ascii="Calibri" w:hAnsi="Calibri" w:cs="Times New Roman"/>
          <w:color w:val="000000"/>
        </w:rPr>
        <w:t xml:space="preserve"> ou seja,</w:t>
      </w:r>
      <w:r>
        <w:rPr>
          <w:rFonts w:ascii="Calibri" w:hAnsi="Calibri" w:cs="Times New Roman"/>
          <w:color w:val="000000"/>
        </w:rPr>
        <w:t xml:space="preserve"> na dimensão ainda assimétrica de mão dupla. Com isso, analisando a medida com que as empresas se adequam mais ou menos a um ideário ético, </w:t>
      </w:r>
      <w:r w:rsidR="00E12434">
        <w:rPr>
          <w:rFonts w:ascii="Calibri" w:hAnsi="Calibri" w:cs="Times New Roman"/>
          <w:color w:val="000000"/>
        </w:rPr>
        <w:t xml:space="preserve">percebe-se a </w:t>
      </w:r>
      <w:r>
        <w:rPr>
          <w:rFonts w:ascii="Calibri" w:hAnsi="Calibri" w:cs="Times New Roman"/>
          <w:color w:val="000000"/>
        </w:rPr>
        <w:t>form</w:t>
      </w:r>
      <w:r w:rsidR="001C0A52">
        <w:rPr>
          <w:rFonts w:ascii="Calibri" w:hAnsi="Calibri" w:cs="Times New Roman"/>
          <w:color w:val="000000"/>
        </w:rPr>
        <w:t>a</w:t>
      </w:r>
      <w:r w:rsidR="00E12434">
        <w:rPr>
          <w:rFonts w:ascii="Calibri" w:hAnsi="Calibri" w:cs="Times New Roman"/>
          <w:color w:val="000000"/>
        </w:rPr>
        <w:t>ção de</w:t>
      </w:r>
      <w:r>
        <w:rPr>
          <w:rFonts w:ascii="Calibri" w:hAnsi="Calibri" w:cs="Times New Roman"/>
          <w:color w:val="000000"/>
        </w:rPr>
        <w:t xml:space="preserve"> um contingente organizacional que se acredita ético (vide </w:t>
      </w:r>
      <w:r w:rsidR="006E1E2D">
        <w:rPr>
          <w:rFonts w:ascii="Calibri" w:hAnsi="Calibri" w:cs="Times New Roman"/>
          <w:color w:val="000000"/>
        </w:rPr>
        <w:t>ondas temáticas da Responsabilidade Social Empresarial e Sustentabilidade nas organizações e suas premiações) quando a realidade</w:t>
      </w:r>
      <w:r w:rsidR="002A4281">
        <w:rPr>
          <w:rFonts w:ascii="Calibri" w:hAnsi="Calibri" w:cs="Times New Roman"/>
          <w:color w:val="000000"/>
        </w:rPr>
        <w:t xml:space="preserve"> positiva dos fatos</w:t>
      </w:r>
      <w:r w:rsidR="006E1E2D">
        <w:rPr>
          <w:rFonts w:ascii="Calibri" w:hAnsi="Calibri" w:cs="Times New Roman"/>
          <w:color w:val="000000"/>
        </w:rPr>
        <w:t xml:space="preserve"> aponta para uma arena caótica e de violentos embates.</w:t>
      </w:r>
      <w:r w:rsidR="002A4281">
        <w:rPr>
          <w:rFonts w:ascii="Calibri" w:hAnsi="Calibri" w:cs="Times New Roman"/>
          <w:color w:val="000000"/>
        </w:rPr>
        <w:t xml:space="preserve"> Por isso, acreditamos que a difusão da teoria de excelência como cânone das Relações Públicas serviu a um momento histórico de afirmação profissional que, atualmente, já se encontra ampliado. As ambiguidades e incongruências precisam ter espaço nas teorias não como algo a ser superado </w:t>
      </w:r>
      <w:r w:rsidR="001C0A52">
        <w:rPr>
          <w:rFonts w:ascii="Calibri" w:hAnsi="Calibri" w:cs="Times New Roman"/>
          <w:color w:val="000000"/>
        </w:rPr>
        <w:t xml:space="preserve">(um modelo que ainda não é o ideal) </w:t>
      </w:r>
      <w:r w:rsidR="002A4281">
        <w:rPr>
          <w:rFonts w:ascii="Calibri" w:hAnsi="Calibri" w:cs="Times New Roman"/>
          <w:color w:val="000000"/>
        </w:rPr>
        <w:t xml:space="preserve">mas, ao contrário, como legítimos objetos de análise </w:t>
      </w:r>
      <w:r w:rsidR="001C0A52">
        <w:rPr>
          <w:rFonts w:ascii="Calibri" w:hAnsi="Calibri" w:cs="Times New Roman"/>
          <w:color w:val="000000"/>
        </w:rPr>
        <w:t xml:space="preserve">(a realidade possível e vivida, de fato) </w:t>
      </w:r>
      <w:r w:rsidR="002A4281">
        <w:rPr>
          <w:rFonts w:ascii="Calibri" w:hAnsi="Calibri" w:cs="Times New Roman"/>
          <w:color w:val="000000"/>
        </w:rPr>
        <w:t>que afligem o cotidiano não apenas organizacional mas de seus públicos e da sociedade como um todo.</w:t>
      </w:r>
    </w:p>
    <w:p w14:paraId="5E53A1EA" w14:textId="77777777" w:rsidR="00EA0F0F" w:rsidRPr="00EA0F0F" w:rsidRDefault="00EA0F0F" w:rsidP="00830674">
      <w:pPr>
        <w:spacing w:after="200" w:line="360" w:lineRule="auto"/>
        <w:jc w:val="both"/>
        <w:rPr>
          <w:rFonts w:ascii="Times" w:hAnsi="Times" w:cs="Times New Roman"/>
          <w:sz w:val="20"/>
          <w:szCs w:val="20"/>
        </w:rPr>
      </w:pPr>
      <w:r w:rsidRPr="00EA0F0F">
        <w:rPr>
          <w:rFonts w:ascii="Calibri" w:hAnsi="Calibri" w:cs="Times New Roman"/>
          <w:color w:val="000000"/>
        </w:rPr>
        <w:t xml:space="preserve">Neste sentido, caminhamos para uma reflexão sobre a possibilidade de uma abordagem não somente ética (fundamentada na ética das profissões) mas moral da prática da comunicação organizacional, resgatando a dimensão humana na constituição e análise destes entes jurídicos, as empresas. Em que medida podemos falar de simetria, considerando-se as relações estabelecidas entre organizações e seus públicos? No caso </w:t>
      </w:r>
      <w:r w:rsidR="002A4281">
        <w:rPr>
          <w:rFonts w:ascii="Calibri" w:hAnsi="Calibri" w:cs="Times New Roman"/>
          <w:color w:val="000000"/>
        </w:rPr>
        <w:t xml:space="preserve">em questão, </w:t>
      </w:r>
      <w:r w:rsidRPr="00EA0F0F">
        <w:rPr>
          <w:rFonts w:ascii="Calibri" w:hAnsi="Calibri" w:cs="Times New Roman"/>
          <w:color w:val="000000"/>
        </w:rPr>
        <w:t xml:space="preserve">de um empreendimento do porte de uma mineradora, cujas operações em determinado território afetam toda a dinâmica regional (transformado-os, inclusive, em </w:t>
      </w:r>
      <w:r w:rsidRPr="00EA0F0F">
        <w:rPr>
          <w:rFonts w:ascii="Calibri" w:hAnsi="Calibri" w:cs="Times New Roman"/>
          <w:i/>
          <w:iCs/>
          <w:color w:val="000000"/>
        </w:rPr>
        <w:t>áreas de risco</w:t>
      </w:r>
      <w:r w:rsidRPr="00EA0F0F">
        <w:rPr>
          <w:rFonts w:ascii="Calibri" w:hAnsi="Calibri" w:cs="Times New Roman"/>
          <w:color w:val="000000"/>
        </w:rPr>
        <w:t>, mas também em polos de desenvolvimento e emprego), como as comunidades de seu entorno podem ser consideradas e se consideram, à luz do que compartilham como experiência comum (e, assim, os institui como públicos) e os diferencia como particulares, em suas individualidades? Há simetria (e este é um operador adequado) para cotejar tal relação?</w:t>
      </w:r>
    </w:p>
    <w:p w14:paraId="49777688" w14:textId="77777777" w:rsidR="00EA0F0F" w:rsidRPr="00EA0F0F" w:rsidRDefault="00EA0F0F" w:rsidP="00830674">
      <w:pPr>
        <w:spacing w:after="200" w:line="360" w:lineRule="auto"/>
        <w:ind w:left="-8"/>
        <w:jc w:val="both"/>
        <w:rPr>
          <w:rFonts w:ascii="Times" w:hAnsi="Times" w:cs="Times New Roman"/>
          <w:sz w:val="20"/>
          <w:szCs w:val="20"/>
        </w:rPr>
      </w:pPr>
      <w:r w:rsidRPr="00EA0F0F">
        <w:rPr>
          <w:rFonts w:ascii="Calibri" w:hAnsi="Calibri" w:cs="Times New Roman"/>
          <w:color w:val="000000"/>
        </w:rPr>
        <w:t xml:space="preserve">O processo das Relações Públicas é inerentemente desequilibrado e as forças persuasivas, as assimetrias, os jogos de coerção devem ser reconhecidos como parte de suas práticas. Há de se questionar a quem interessa naturalizar tal modelo e em que medida ele constitui-se como recurso discursivo para mascarar práticas assimétricas, relações de poder e esforços de persuasão, com objetivo de reforçar as assimetrias e legitimar práticas interessadas e, em última instância, pouco democráticas por parte das organizações. </w:t>
      </w:r>
    </w:p>
    <w:p w14:paraId="070B2829" w14:textId="77777777" w:rsidR="00EA0F0F" w:rsidRPr="00EA0F0F" w:rsidRDefault="00EA0F0F" w:rsidP="00830674">
      <w:pPr>
        <w:spacing w:after="200" w:line="360" w:lineRule="auto"/>
        <w:ind w:left="-8"/>
        <w:jc w:val="both"/>
        <w:rPr>
          <w:rFonts w:ascii="Times" w:hAnsi="Times" w:cs="Times New Roman"/>
          <w:sz w:val="20"/>
          <w:szCs w:val="20"/>
        </w:rPr>
      </w:pPr>
      <w:r w:rsidRPr="00EA0F0F">
        <w:rPr>
          <w:rFonts w:ascii="Calibri" w:hAnsi="Calibri" w:cs="Times New Roman"/>
          <w:b/>
          <w:bCs/>
          <w:color w:val="000000"/>
        </w:rPr>
        <w:t>6. REFERÊNCIAS</w:t>
      </w:r>
    </w:p>
    <w:p w14:paraId="52105DD2" w14:textId="7837F24C"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ANA (2017)</w:t>
      </w:r>
      <w:r w:rsidR="00EA0F0F" w:rsidRPr="000872B3">
        <w:rPr>
          <w:rFonts w:asciiTheme="majorHAnsi" w:hAnsiTheme="majorHAnsi" w:cs="Times New Roman"/>
          <w:color w:val="000000"/>
          <w:sz w:val="22"/>
          <w:szCs w:val="22"/>
        </w:rPr>
        <w:t xml:space="preserve">. </w:t>
      </w:r>
      <w:r w:rsidR="00EA0F0F" w:rsidRPr="000872B3">
        <w:rPr>
          <w:rFonts w:asciiTheme="majorHAnsi" w:hAnsiTheme="majorHAnsi" w:cs="Times New Roman"/>
          <w:i/>
          <w:color w:val="000000"/>
          <w:sz w:val="22"/>
          <w:szCs w:val="22"/>
        </w:rPr>
        <w:t>Encarte especial - Bacia do Rio Doce</w:t>
      </w:r>
      <w:r w:rsidR="00EA0F0F" w:rsidRPr="000872B3">
        <w:rPr>
          <w:rFonts w:asciiTheme="majorHAnsi" w:hAnsiTheme="majorHAnsi" w:cs="Times New Roman"/>
          <w:color w:val="000000"/>
          <w:sz w:val="22"/>
          <w:szCs w:val="22"/>
        </w:rPr>
        <w:t xml:space="preserve">. Recuperado em: 01/03/2017, de </w:t>
      </w:r>
      <w:hyperlink r:id="rId8" w:history="1">
        <w:r w:rsidR="00EA0F0F" w:rsidRPr="000872B3">
          <w:rPr>
            <w:rFonts w:asciiTheme="majorHAnsi" w:hAnsiTheme="majorHAnsi" w:cs="Times New Roman"/>
            <w:color w:val="1155CC"/>
            <w:sz w:val="22"/>
            <w:szCs w:val="22"/>
            <w:u w:val="single"/>
          </w:rPr>
          <w:t>http://www3.snirh.gov.br/portal/snirh/centrais-de-conteudos/conjuntura-dos-recursos-hidricos/encarteriodoce_22_03_2016v2.pdf</w:t>
        </w:r>
      </w:hyperlink>
      <w:r w:rsidR="00EA0F0F" w:rsidRPr="000872B3">
        <w:rPr>
          <w:rFonts w:asciiTheme="majorHAnsi" w:hAnsiTheme="majorHAnsi" w:cs="Times New Roman"/>
          <w:color w:val="000000"/>
          <w:sz w:val="22"/>
          <w:szCs w:val="22"/>
        </w:rPr>
        <w:t>.</w:t>
      </w:r>
    </w:p>
    <w:p w14:paraId="58EC3294" w14:textId="125115A6"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BOWKER</w:t>
      </w:r>
      <w:r w:rsidR="00EA0F0F" w:rsidRPr="000872B3">
        <w:rPr>
          <w:rFonts w:asciiTheme="majorHAnsi" w:hAnsiTheme="majorHAnsi" w:cs="Times New Roman"/>
          <w:color w:val="000000"/>
          <w:sz w:val="22"/>
          <w:szCs w:val="22"/>
        </w:rPr>
        <w:t>, L</w:t>
      </w:r>
      <w:r w:rsidRPr="000872B3">
        <w:rPr>
          <w:rFonts w:asciiTheme="majorHAnsi" w:hAnsiTheme="majorHAnsi" w:cs="Times New Roman"/>
          <w:color w:val="000000"/>
          <w:sz w:val="22"/>
          <w:szCs w:val="22"/>
        </w:rPr>
        <w:t>. N.</w:t>
      </w:r>
      <w:r w:rsidR="00EA0F0F" w:rsidRPr="000872B3">
        <w:rPr>
          <w:rFonts w:asciiTheme="majorHAnsi" w:hAnsiTheme="majorHAnsi" w:cs="Times New Roman"/>
          <w:color w:val="000000"/>
          <w:sz w:val="22"/>
          <w:szCs w:val="22"/>
        </w:rPr>
        <w:t xml:space="preserve"> (2015). </w:t>
      </w:r>
      <w:r w:rsidR="00EA0F0F" w:rsidRPr="000872B3">
        <w:rPr>
          <w:rFonts w:asciiTheme="majorHAnsi" w:hAnsiTheme="majorHAnsi" w:cs="Times New Roman"/>
          <w:i/>
          <w:color w:val="000000"/>
          <w:sz w:val="22"/>
          <w:szCs w:val="22"/>
        </w:rPr>
        <w:t>Samarco dam failure largest by far in recorded history</w:t>
      </w:r>
      <w:r w:rsidR="00EA0F0F" w:rsidRPr="000872B3">
        <w:rPr>
          <w:rFonts w:asciiTheme="majorHAnsi" w:hAnsiTheme="majorHAnsi" w:cs="Times New Roman"/>
          <w:color w:val="000000"/>
          <w:sz w:val="22"/>
          <w:szCs w:val="22"/>
        </w:rPr>
        <w:t xml:space="preserve">. Recuperado em 01/03/17, de </w:t>
      </w:r>
      <w:hyperlink r:id="rId9" w:history="1">
        <w:r w:rsidR="00EA0F0F" w:rsidRPr="000872B3">
          <w:rPr>
            <w:rFonts w:asciiTheme="majorHAnsi" w:hAnsiTheme="majorHAnsi" w:cs="Times New Roman"/>
            <w:color w:val="1155CC"/>
            <w:sz w:val="22"/>
            <w:szCs w:val="22"/>
            <w:u w:val="single"/>
          </w:rPr>
          <w:t>https://lindsaynewlandbowker.wordpress.com/2015/12/12/samarco-dam-failure-largest-by-far-in-recorded-history/</w:t>
        </w:r>
      </w:hyperlink>
      <w:r w:rsidR="00EA0F0F" w:rsidRPr="000872B3">
        <w:rPr>
          <w:rFonts w:asciiTheme="majorHAnsi" w:hAnsiTheme="majorHAnsi" w:cs="Times New Roman"/>
          <w:color w:val="000000"/>
          <w:sz w:val="22"/>
          <w:szCs w:val="22"/>
        </w:rPr>
        <w:t>.</w:t>
      </w:r>
    </w:p>
    <w:p w14:paraId="785D4A2E" w14:textId="3560F8B5"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 xml:space="preserve">BRASIL </w:t>
      </w:r>
      <w:r w:rsidR="00EA0F0F" w:rsidRPr="000872B3">
        <w:rPr>
          <w:rFonts w:asciiTheme="majorHAnsi" w:hAnsiTheme="majorHAnsi" w:cs="Times New Roman"/>
          <w:color w:val="000000"/>
          <w:sz w:val="22"/>
          <w:szCs w:val="22"/>
        </w:rPr>
        <w:t xml:space="preserve">(2010). </w:t>
      </w:r>
      <w:r w:rsidR="00EA0F0F" w:rsidRPr="000872B3">
        <w:rPr>
          <w:rFonts w:asciiTheme="majorHAnsi" w:hAnsiTheme="majorHAnsi" w:cs="Times New Roman"/>
          <w:i/>
          <w:color w:val="000000"/>
          <w:sz w:val="22"/>
          <w:szCs w:val="22"/>
        </w:rPr>
        <w:t>Lei nº 12.334/2010</w:t>
      </w:r>
      <w:r w:rsidR="00EA0F0F" w:rsidRPr="000872B3">
        <w:rPr>
          <w:rFonts w:asciiTheme="majorHAnsi" w:hAnsiTheme="majorHAnsi" w:cs="Times New Roman"/>
          <w:color w:val="000000"/>
          <w:sz w:val="22"/>
          <w:szCs w:val="22"/>
        </w:rPr>
        <w:t xml:space="preserve">. Presidência da República. Brasilia: Casa Civil. Recuperado em 01/03/17, de </w:t>
      </w:r>
      <w:hyperlink r:id="rId10" w:history="1">
        <w:r w:rsidR="00EA0F0F" w:rsidRPr="000872B3">
          <w:rPr>
            <w:rFonts w:asciiTheme="majorHAnsi" w:hAnsiTheme="majorHAnsi" w:cs="Times New Roman"/>
            <w:color w:val="0000FF"/>
            <w:sz w:val="22"/>
            <w:szCs w:val="22"/>
            <w:u w:val="single"/>
          </w:rPr>
          <w:t>http://www.planalto.gov.br/ccivil_03/_Ato2007-2010/2010/Lei/L12334.htm</w:t>
        </w:r>
      </w:hyperlink>
      <w:r w:rsidR="00EA0F0F" w:rsidRPr="000872B3">
        <w:rPr>
          <w:rFonts w:asciiTheme="majorHAnsi" w:hAnsiTheme="majorHAnsi" w:cs="Times New Roman"/>
          <w:color w:val="000000"/>
          <w:sz w:val="22"/>
          <w:szCs w:val="22"/>
        </w:rPr>
        <w:t>.</w:t>
      </w:r>
    </w:p>
    <w:p w14:paraId="2DF3AE90" w14:textId="5CE29874"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CARNAVALESCO,</w:t>
      </w:r>
      <w:r w:rsidR="00EA0F0F" w:rsidRPr="000872B3">
        <w:rPr>
          <w:rFonts w:asciiTheme="majorHAnsi" w:hAnsiTheme="majorHAnsi" w:cs="Times New Roman"/>
          <w:color w:val="000000"/>
          <w:sz w:val="22"/>
          <w:szCs w:val="22"/>
        </w:rPr>
        <w:t xml:space="preserve"> R</w:t>
      </w:r>
      <w:r w:rsidRPr="000872B3">
        <w:rPr>
          <w:rFonts w:asciiTheme="majorHAnsi" w:hAnsiTheme="majorHAnsi" w:cs="Times New Roman"/>
          <w:color w:val="000000"/>
          <w:sz w:val="22"/>
          <w:szCs w:val="22"/>
        </w:rPr>
        <w:t>.</w:t>
      </w:r>
      <w:r w:rsidR="00EA0F0F" w:rsidRPr="000872B3">
        <w:rPr>
          <w:rFonts w:asciiTheme="majorHAnsi" w:hAnsiTheme="majorHAnsi" w:cs="Times New Roman"/>
          <w:color w:val="000000"/>
          <w:sz w:val="22"/>
          <w:szCs w:val="22"/>
        </w:rPr>
        <w:t xml:space="preserve"> (2017)</w:t>
      </w:r>
      <w:r w:rsidR="00EA0F0F" w:rsidRPr="000872B3">
        <w:rPr>
          <w:rFonts w:asciiTheme="majorHAnsi" w:hAnsiTheme="majorHAnsi" w:cs="Times New Roman"/>
          <w:i/>
          <w:color w:val="000000"/>
          <w:sz w:val="22"/>
          <w:szCs w:val="22"/>
        </w:rPr>
        <w:t>. Portela emociona com alegoria que retrata tragédia de Mariana</w:t>
      </w:r>
      <w:r w:rsidR="00EA0F0F" w:rsidRPr="000872B3">
        <w:rPr>
          <w:rFonts w:asciiTheme="majorHAnsi" w:hAnsiTheme="majorHAnsi" w:cs="Times New Roman"/>
          <w:color w:val="000000"/>
          <w:sz w:val="22"/>
          <w:szCs w:val="22"/>
        </w:rPr>
        <w:t xml:space="preserve">. Recuperado em 01/03/17, de </w:t>
      </w:r>
      <w:hyperlink r:id="rId11" w:history="1">
        <w:r w:rsidR="00EA0F0F" w:rsidRPr="000872B3">
          <w:rPr>
            <w:rFonts w:asciiTheme="majorHAnsi" w:hAnsiTheme="majorHAnsi" w:cs="Times New Roman"/>
            <w:color w:val="1155CC"/>
            <w:sz w:val="22"/>
            <w:szCs w:val="22"/>
            <w:u w:val="single"/>
          </w:rPr>
          <w:t>http://www.carnavalesco.com.br/noticia/portela-emociona-com-alegoria-que-retrata-tragedia-de-mariana/47473</w:t>
        </w:r>
      </w:hyperlink>
      <w:r w:rsidR="00EA0F0F" w:rsidRPr="000872B3">
        <w:rPr>
          <w:rFonts w:asciiTheme="majorHAnsi" w:hAnsiTheme="majorHAnsi" w:cs="Times New Roman"/>
          <w:color w:val="000000"/>
          <w:sz w:val="22"/>
          <w:szCs w:val="22"/>
        </w:rPr>
        <w:t>.</w:t>
      </w:r>
    </w:p>
    <w:p w14:paraId="787C9ADB" w14:textId="5A99FA0A" w:rsidR="00EA0F0F" w:rsidRPr="000872B3" w:rsidRDefault="00EA0F0F"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CHARAUDEAU, P</w:t>
      </w:r>
      <w:r w:rsidR="00BB4986" w:rsidRPr="000872B3">
        <w:rPr>
          <w:rFonts w:asciiTheme="majorHAnsi" w:hAnsiTheme="majorHAnsi" w:cs="Times New Roman"/>
          <w:color w:val="000000"/>
          <w:sz w:val="22"/>
          <w:szCs w:val="22"/>
        </w:rPr>
        <w:t xml:space="preserve">. </w:t>
      </w:r>
      <w:r w:rsidRPr="000872B3">
        <w:rPr>
          <w:rFonts w:asciiTheme="majorHAnsi" w:hAnsiTheme="majorHAnsi" w:cs="Times New Roman"/>
          <w:color w:val="000000"/>
          <w:sz w:val="22"/>
          <w:szCs w:val="22"/>
        </w:rPr>
        <w:t xml:space="preserve">(2016). </w:t>
      </w:r>
      <w:r w:rsidRPr="000872B3">
        <w:rPr>
          <w:rFonts w:asciiTheme="majorHAnsi" w:hAnsiTheme="majorHAnsi" w:cs="Times New Roman"/>
          <w:i/>
          <w:color w:val="000000"/>
          <w:sz w:val="22"/>
          <w:szCs w:val="22"/>
        </w:rPr>
        <w:t>A Conquista da Opinião Pública</w:t>
      </w:r>
      <w:r w:rsidRPr="000872B3">
        <w:rPr>
          <w:rFonts w:asciiTheme="majorHAnsi" w:hAnsiTheme="majorHAnsi" w:cs="Times New Roman"/>
          <w:b/>
          <w:bCs/>
          <w:color w:val="000000"/>
          <w:sz w:val="22"/>
          <w:szCs w:val="22"/>
        </w:rPr>
        <w:t>.</w:t>
      </w:r>
      <w:r w:rsidRPr="000872B3">
        <w:rPr>
          <w:rFonts w:asciiTheme="majorHAnsi" w:hAnsiTheme="majorHAnsi" w:cs="Times New Roman"/>
          <w:color w:val="000000"/>
          <w:sz w:val="22"/>
          <w:szCs w:val="22"/>
        </w:rPr>
        <w:t xml:space="preserve"> São Paulo. Editora Contexto. </w:t>
      </w:r>
    </w:p>
    <w:p w14:paraId="5F4DCDE0" w14:textId="09BC6CDF"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EDWARDS, L. y HODGES, C</w:t>
      </w:r>
      <w:r w:rsidR="00EA0F0F" w:rsidRPr="000872B3">
        <w:rPr>
          <w:rFonts w:asciiTheme="majorHAnsi" w:hAnsiTheme="majorHAnsi" w:cs="Times New Roman"/>
          <w:color w:val="000000"/>
          <w:sz w:val="22"/>
          <w:szCs w:val="22"/>
        </w:rPr>
        <w:t>. (2011).</w:t>
      </w:r>
      <w:r w:rsidRPr="000872B3">
        <w:rPr>
          <w:rFonts w:asciiTheme="majorHAnsi" w:hAnsiTheme="majorHAnsi" w:cs="Times New Roman"/>
          <w:color w:val="000000"/>
          <w:sz w:val="22"/>
          <w:szCs w:val="22"/>
        </w:rPr>
        <w:t xml:space="preserve"> </w:t>
      </w:r>
      <w:r w:rsidR="00EA0F0F" w:rsidRPr="000872B3">
        <w:rPr>
          <w:rFonts w:asciiTheme="majorHAnsi" w:hAnsiTheme="majorHAnsi" w:cs="Times New Roman"/>
          <w:i/>
          <w:color w:val="000000"/>
          <w:sz w:val="22"/>
          <w:szCs w:val="22"/>
        </w:rPr>
        <w:t>Public Relations, Society and Culture: theoretical and empirical explorations.</w:t>
      </w:r>
      <w:r w:rsidR="00EA0F0F" w:rsidRPr="000872B3">
        <w:rPr>
          <w:rFonts w:asciiTheme="majorHAnsi" w:hAnsiTheme="majorHAnsi" w:cs="Times New Roman"/>
          <w:color w:val="000000"/>
          <w:sz w:val="22"/>
          <w:szCs w:val="22"/>
        </w:rPr>
        <w:t xml:space="preserve"> Londres: Routledge.</w:t>
      </w:r>
    </w:p>
    <w:p w14:paraId="46DFF034" w14:textId="7F5F6541" w:rsidR="00EA0F0F" w:rsidRPr="000872B3" w:rsidRDefault="00EA0F0F" w:rsidP="00830674">
      <w:pPr>
        <w:spacing w:after="200" w:line="360" w:lineRule="auto"/>
        <w:jc w:val="both"/>
        <w:rPr>
          <w:rFonts w:asciiTheme="majorHAnsi" w:hAnsiTheme="majorHAnsi" w:cs="Times New Roman"/>
          <w:color w:val="000000"/>
          <w:sz w:val="22"/>
          <w:szCs w:val="22"/>
        </w:rPr>
      </w:pPr>
      <w:r w:rsidRPr="000872B3">
        <w:rPr>
          <w:rFonts w:asciiTheme="majorHAnsi" w:hAnsiTheme="majorHAnsi" w:cs="Times New Roman"/>
          <w:color w:val="000000"/>
          <w:sz w:val="22"/>
          <w:szCs w:val="22"/>
        </w:rPr>
        <w:t>FRANÇA, V</w:t>
      </w:r>
      <w:r w:rsidR="00BB4986" w:rsidRPr="000872B3">
        <w:rPr>
          <w:rFonts w:asciiTheme="majorHAnsi" w:hAnsiTheme="majorHAnsi" w:cs="Times New Roman"/>
          <w:color w:val="000000"/>
          <w:sz w:val="22"/>
          <w:szCs w:val="22"/>
        </w:rPr>
        <w:t>. y</w:t>
      </w:r>
      <w:r w:rsidR="00D027F2" w:rsidRPr="000872B3">
        <w:rPr>
          <w:rFonts w:asciiTheme="majorHAnsi" w:hAnsiTheme="majorHAnsi" w:cs="Times New Roman"/>
          <w:color w:val="000000"/>
          <w:sz w:val="22"/>
          <w:szCs w:val="22"/>
        </w:rPr>
        <w:t xml:space="preserve"> </w:t>
      </w:r>
      <w:r w:rsidR="00BB4986" w:rsidRPr="000872B3">
        <w:rPr>
          <w:rFonts w:asciiTheme="majorHAnsi" w:hAnsiTheme="majorHAnsi" w:cs="Times New Roman"/>
          <w:color w:val="000000"/>
          <w:sz w:val="22"/>
          <w:szCs w:val="22"/>
        </w:rPr>
        <w:t>OLIVEIRA, L. (2012).</w:t>
      </w:r>
      <w:r w:rsidR="00D027F2" w:rsidRPr="000872B3">
        <w:rPr>
          <w:rFonts w:asciiTheme="majorHAnsi" w:hAnsiTheme="majorHAnsi" w:cs="Times New Roman"/>
          <w:color w:val="000000"/>
          <w:sz w:val="22"/>
          <w:szCs w:val="22"/>
        </w:rPr>
        <w:t xml:space="preserve"> </w:t>
      </w:r>
      <w:r w:rsidR="00D027F2" w:rsidRPr="000872B3">
        <w:rPr>
          <w:rFonts w:asciiTheme="majorHAnsi" w:hAnsiTheme="majorHAnsi" w:cs="Times New Roman"/>
          <w:i/>
          <w:color w:val="000000"/>
          <w:sz w:val="22"/>
          <w:szCs w:val="22"/>
        </w:rPr>
        <w:t>Acontecimento: reverberações.</w:t>
      </w:r>
      <w:r w:rsidR="00D027F2" w:rsidRPr="000872B3">
        <w:rPr>
          <w:rFonts w:asciiTheme="majorHAnsi" w:hAnsiTheme="majorHAnsi" w:cs="Times New Roman"/>
          <w:color w:val="000000"/>
          <w:sz w:val="22"/>
          <w:szCs w:val="22"/>
        </w:rPr>
        <w:t xml:space="preserve"> Belo Horizonte: Autêntica Editora</w:t>
      </w:r>
      <w:r w:rsidR="00BB4986" w:rsidRPr="000872B3">
        <w:rPr>
          <w:rFonts w:asciiTheme="majorHAnsi" w:hAnsiTheme="majorHAnsi" w:cs="Times New Roman"/>
          <w:color w:val="000000"/>
          <w:sz w:val="22"/>
          <w:szCs w:val="22"/>
        </w:rPr>
        <w:t>.</w:t>
      </w:r>
    </w:p>
    <w:p w14:paraId="180ECEF7" w14:textId="6621C77C"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 xml:space="preserve">GESTA (2016). </w:t>
      </w:r>
      <w:r w:rsidR="00EA0F0F" w:rsidRPr="000872B3">
        <w:rPr>
          <w:rFonts w:asciiTheme="majorHAnsi" w:hAnsiTheme="majorHAnsi" w:cs="Times New Roman"/>
          <w:i/>
          <w:color w:val="000000"/>
          <w:sz w:val="22"/>
          <w:szCs w:val="22"/>
        </w:rPr>
        <w:t>Parecer sobre o Cadastro Integrado do Programa de Levantamento e Cadastro dos Impactados (PLCI) elaborado pelas empresas Samarco e Synergia Consultoria Ambiental</w:t>
      </w:r>
      <w:r w:rsidR="00EA0F0F" w:rsidRPr="000872B3">
        <w:rPr>
          <w:rFonts w:asciiTheme="majorHAnsi" w:hAnsiTheme="majorHAnsi" w:cs="Times New Roman"/>
          <w:color w:val="000000"/>
          <w:sz w:val="22"/>
          <w:szCs w:val="22"/>
        </w:rPr>
        <w:t xml:space="preserve">. Recuperado em: 23/11/2016, de </w:t>
      </w:r>
      <w:r w:rsidR="00EA0F0F" w:rsidRPr="000872B3">
        <w:rPr>
          <w:rFonts w:asciiTheme="majorHAnsi" w:hAnsiTheme="majorHAnsi" w:cs="Arial"/>
          <w:color w:val="202020"/>
          <w:sz w:val="22"/>
          <w:szCs w:val="22"/>
          <w:shd w:val="clear" w:color="auto" w:fill="F5F5F5"/>
        </w:rPr>
        <w:t> </w:t>
      </w:r>
      <w:hyperlink r:id="rId12" w:history="1">
        <w:r w:rsidR="00EA0F0F" w:rsidRPr="000872B3">
          <w:rPr>
            <w:rFonts w:asciiTheme="majorHAnsi" w:hAnsiTheme="majorHAnsi" w:cs="Arial"/>
            <w:color w:val="1155CC"/>
            <w:sz w:val="22"/>
            <w:szCs w:val="22"/>
            <w:u w:val="single"/>
            <w:shd w:val="clear" w:color="auto" w:fill="F5F5F5"/>
          </w:rPr>
          <w:t>http://conflitosambientaismg.lcc.ufmg.br/wp-content/uploads/2017/02/GESTA-UFMG-Parecer-sobre-Cadastro-Integrado-do-PLCI-Samarco-Synergia.pdf</w:t>
        </w:r>
      </w:hyperlink>
    </w:p>
    <w:p w14:paraId="0B268591" w14:textId="5504B82F" w:rsidR="00EA0F0F" w:rsidRPr="000872B3" w:rsidRDefault="00BB4986" w:rsidP="00830674">
      <w:pPr>
        <w:spacing w:after="200" w:line="360" w:lineRule="auto"/>
        <w:jc w:val="both"/>
        <w:rPr>
          <w:rFonts w:asciiTheme="majorHAnsi" w:hAnsiTheme="majorHAnsi" w:cs="Times New Roman"/>
          <w:color w:val="000000"/>
          <w:sz w:val="22"/>
          <w:szCs w:val="22"/>
        </w:rPr>
      </w:pPr>
      <w:r w:rsidRPr="000872B3">
        <w:rPr>
          <w:rFonts w:asciiTheme="majorHAnsi" w:hAnsiTheme="majorHAnsi" w:cs="Times New Roman"/>
          <w:color w:val="000000"/>
          <w:sz w:val="22"/>
          <w:szCs w:val="22"/>
        </w:rPr>
        <w:t xml:space="preserve">GRUNIG, J. y </w:t>
      </w:r>
      <w:r w:rsidR="00EA0F0F" w:rsidRPr="000872B3">
        <w:rPr>
          <w:rFonts w:asciiTheme="majorHAnsi" w:hAnsiTheme="majorHAnsi" w:cs="Times New Roman"/>
          <w:color w:val="000000"/>
          <w:sz w:val="22"/>
          <w:szCs w:val="22"/>
        </w:rPr>
        <w:t>HUNT, T.</w:t>
      </w:r>
      <w:r w:rsidRPr="000872B3">
        <w:rPr>
          <w:rFonts w:asciiTheme="majorHAnsi" w:hAnsiTheme="majorHAnsi" w:cs="Times New Roman"/>
          <w:color w:val="000000"/>
          <w:sz w:val="22"/>
          <w:szCs w:val="22"/>
        </w:rPr>
        <w:t xml:space="preserve"> </w:t>
      </w:r>
      <w:r w:rsidR="00EA0F0F" w:rsidRPr="000872B3">
        <w:rPr>
          <w:rFonts w:asciiTheme="majorHAnsi" w:hAnsiTheme="majorHAnsi" w:cs="Times New Roman"/>
          <w:color w:val="000000"/>
          <w:sz w:val="22"/>
          <w:szCs w:val="22"/>
        </w:rPr>
        <w:t xml:space="preserve">(1984). </w:t>
      </w:r>
      <w:r w:rsidR="00EA0F0F" w:rsidRPr="000872B3">
        <w:rPr>
          <w:rFonts w:asciiTheme="majorHAnsi" w:hAnsiTheme="majorHAnsi" w:cs="Times New Roman"/>
          <w:i/>
          <w:color w:val="000000"/>
          <w:sz w:val="22"/>
          <w:szCs w:val="22"/>
        </w:rPr>
        <w:t>Managing Public Relations</w:t>
      </w:r>
      <w:r w:rsidR="00EA0F0F" w:rsidRPr="000872B3">
        <w:rPr>
          <w:rFonts w:asciiTheme="majorHAnsi" w:hAnsiTheme="majorHAnsi" w:cs="Times New Roman"/>
          <w:color w:val="000000"/>
          <w:sz w:val="22"/>
          <w:szCs w:val="22"/>
        </w:rPr>
        <w:t>. New York: Holt, Rinehart and Winston.</w:t>
      </w:r>
    </w:p>
    <w:p w14:paraId="5FDEC91E" w14:textId="37F49243" w:rsidR="00D027F2" w:rsidRPr="000872B3" w:rsidRDefault="00D027F2" w:rsidP="00830674">
      <w:pPr>
        <w:spacing w:after="200" w:line="360" w:lineRule="auto"/>
        <w:jc w:val="both"/>
        <w:rPr>
          <w:rFonts w:asciiTheme="majorHAnsi" w:hAnsiTheme="majorHAnsi" w:cs="Times New Roman"/>
          <w:color w:val="000000"/>
          <w:sz w:val="22"/>
          <w:szCs w:val="22"/>
        </w:rPr>
      </w:pPr>
      <w:r w:rsidRPr="000872B3">
        <w:rPr>
          <w:rFonts w:asciiTheme="majorHAnsi" w:hAnsiTheme="majorHAnsi" w:cs="Times New Roman"/>
          <w:color w:val="000000"/>
          <w:sz w:val="22"/>
          <w:szCs w:val="22"/>
        </w:rPr>
        <w:t>GRUNIG, J. (Ed.)</w:t>
      </w:r>
      <w:r w:rsidR="00C85802" w:rsidRPr="000872B3">
        <w:rPr>
          <w:rFonts w:asciiTheme="majorHAnsi" w:hAnsiTheme="majorHAnsi" w:cs="Times New Roman"/>
          <w:color w:val="000000"/>
          <w:sz w:val="22"/>
          <w:szCs w:val="22"/>
        </w:rPr>
        <w:t xml:space="preserve"> (1992)</w:t>
      </w:r>
      <w:r w:rsidRPr="000872B3">
        <w:rPr>
          <w:rFonts w:asciiTheme="majorHAnsi" w:hAnsiTheme="majorHAnsi" w:cs="Times New Roman"/>
          <w:color w:val="000000"/>
          <w:sz w:val="22"/>
          <w:szCs w:val="22"/>
        </w:rPr>
        <w:t xml:space="preserve">. </w:t>
      </w:r>
      <w:r w:rsidRPr="000872B3">
        <w:rPr>
          <w:rFonts w:asciiTheme="majorHAnsi" w:hAnsiTheme="majorHAnsi" w:cs="Times New Roman"/>
          <w:i/>
          <w:color w:val="000000"/>
          <w:sz w:val="22"/>
          <w:szCs w:val="22"/>
        </w:rPr>
        <w:t>Excellence in public relations and communication management</w:t>
      </w:r>
      <w:r w:rsidRPr="000872B3">
        <w:rPr>
          <w:rFonts w:asciiTheme="majorHAnsi" w:hAnsiTheme="majorHAnsi" w:cs="Times New Roman"/>
          <w:color w:val="000000"/>
          <w:sz w:val="22"/>
          <w:szCs w:val="22"/>
        </w:rPr>
        <w:t>. Hills</w:t>
      </w:r>
      <w:r w:rsidR="00C85802" w:rsidRPr="000872B3">
        <w:rPr>
          <w:rFonts w:asciiTheme="majorHAnsi" w:hAnsiTheme="majorHAnsi" w:cs="Times New Roman"/>
          <w:color w:val="000000"/>
          <w:sz w:val="22"/>
          <w:szCs w:val="22"/>
        </w:rPr>
        <w:t>dale, NJ: Lawrence Erlbaum</w:t>
      </w:r>
      <w:r w:rsidRPr="000872B3">
        <w:rPr>
          <w:rFonts w:asciiTheme="majorHAnsi" w:hAnsiTheme="majorHAnsi" w:cs="Times New Roman"/>
          <w:color w:val="000000"/>
          <w:sz w:val="22"/>
          <w:szCs w:val="22"/>
        </w:rPr>
        <w:t>.</w:t>
      </w:r>
    </w:p>
    <w:p w14:paraId="00D65BA5" w14:textId="0FB46649" w:rsidR="00EA0F0F" w:rsidRPr="000872B3" w:rsidRDefault="00BB4986"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L'ETANG, J. y PIECZKA, M.</w:t>
      </w:r>
      <w:r w:rsidR="00EA0F0F" w:rsidRPr="000872B3">
        <w:rPr>
          <w:rFonts w:asciiTheme="majorHAnsi" w:hAnsiTheme="majorHAnsi" w:cs="Times New Roman"/>
          <w:color w:val="000000"/>
          <w:sz w:val="22"/>
          <w:szCs w:val="22"/>
        </w:rPr>
        <w:t xml:space="preserve"> (eds).</w:t>
      </w:r>
      <w:r w:rsidR="00C85802" w:rsidRPr="000872B3">
        <w:rPr>
          <w:rFonts w:asciiTheme="majorHAnsi" w:hAnsiTheme="majorHAnsi" w:cs="Times New Roman"/>
          <w:color w:val="000000"/>
          <w:sz w:val="22"/>
          <w:szCs w:val="22"/>
        </w:rPr>
        <w:t xml:space="preserve"> </w:t>
      </w:r>
      <w:r w:rsidR="00EA0F0F" w:rsidRPr="000872B3">
        <w:rPr>
          <w:rFonts w:asciiTheme="majorHAnsi" w:hAnsiTheme="majorHAnsi" w:cs="Times New Roman"/>
          <w:color w:val="000000"/>
          <w:sz w:val="22"/>
          <w:szCs w:val="22"/>
        </w:rPr>
        <w:t xml:space="preserve">(2006). </w:t>
      </w:r>
      <w:r w:rsidR="00EA0F0F" w:rsidRPr="000872B3">
        <w:rPr>
          <w:rFonts w:asciiTheme="majorHAnsi" w:hAnsiTheme="majorHAnsi" w:cs="Times New Roman"/>
          <w:i/>
          <w:color w:val="000000"/>
          <w:sz w:val="22"/>
          <w:szCs w:val="22"/>
        </w:rPr>
        <w:t>Public Relations Critical Debates and Contemporary</w:t>
      </w:r>
      <w:r w:rsidR="00EA0F0F" w:rsidRPr="000872B3">
        <w:rPr>
          <w:rFonts w:asciiTheme="majorHAnsi" w:hAnsiTheme="majorHAnsi" w:cs="Times New Roman"/>
          <w:color w:val="000000"/>
          <w:sz w:val="22"/>
          <w:szCs w:val="22"/>
        </w:rPr>
        <w:t xml:space="preserve"> Practice. New Jersey: LEA.</w:t>
      </w:r>
    </w:p>
    <w:p w14:paraId="3A8670F4" w14:textId="71C8D5AA" w:rsidR="00EA0F0F" w:rsidRPr="000872B3" w:rsidRDefault="00EA0F0F"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MEC</w:t>
      </w:r>
      <w:r w:rsidR="00C85802" w:rsidRPr="000872B3">
        <w:rPr>
          <w:rFonts w:asciiTheme="majorHAnsi" w:hAnsiTheme="majorHAnsi" w:cs="Times New Roman"/>
          <w:color w:val="000000"/>
          <w:sz w:val="22"/>
          <w:szCs w:val="22"/>
        </w:rPr>
        <w:t xml:space="preserve"> (2013)</w:t>
      </w:r>
      <w:r w:rsidRPr="000872B3">
        <w:rPr>
          <w:rFonts w:asciiTheme="majorHAnsi" w:hAnsiTheme="majorHAnsi" w:cs="Times New Roman"/>
          <w:color w:val="000000"/>
          <w:sz w:val="22"/>
          <w:szCs w:val="22"/>
        </w:rPr>
        <w:t xml:space="preserve">. </w:t>
      </w:r>
      <w:r w:rsidRPr="000872B3">
        <w:rPr>
          <w:rFonts w:asciiTheme="majorHAnsi" w:hAnsiTheme="majorHAnsi" w:cs="Times New Roman"/>
          <w:i/>
          <w:color w:val="000000"/>
          <w:sz w:val="22"/>
          <w:szCs w:val="22"/>
        </w:rPr>
        <w:t>Resolução Nº 2, de 27 de Setembro de 2013, que institui as Diretrizes Curriculares Nacionais do curso de graduação em Relações Públicas.Recuperado</w:t>
      </w:r>
      <w:r w:rsidRPr="000872B3">
        <w:rPr>
          <w:rFonts w:asciiTheme="majorHAnsi" w:hAnsiTheme="majorHAnsi" w:cs="Times New Roman"/>
          <w:color w:val="000000"/>
          <w:sz w:val="22"/>
          <w:szCs w:val="22"/>
        </w:rPr>
        <w:t xml:space="preserve"> em: 01/03/2017, de </w:t>
      </w:r>
      <w:hyperlink r:id="rId13" w:history="1">
        <w:r w:rsidRPr="000872B3">
          <w:rPr>
            <w:rFonts w:asciiTheme="majorHAnsi" w:hAnsiTheme="majorHAnsi" w:cs="Times New Roman"/>
            <w:color w:val="1155CC"/>
            <w:sz w:val="22"/>
            <w:szCs w:val="22"/>
            <w:u w:val="single"/>
          </w:rPr>
          <w:t>http://portal.mec.gov.br/index.php?option=com_docman&amp;view=download&amp;alias=14243-rces002-13&amp;category_slug=setembro-2013-pdf&amp;Itemid=30192</w:t>
        </w:r>
      </w:hyperlink>
      <w:r w:rsidRPr="000872B3">
        <w:rPr>
          <w:rFonts w:asciiTheme="majorHAnsi" w:hAnsiTheme="majorHAnsi" w:cs="Times New Roman"/>
          <w:color w:val="000000"/>
          <w:sz w:val="22"/>
          <w:szCs w:val="22"/>
        </w:rPr>
        <w:t>.</w:t>
      </w:r>
    </w:p>
    <w:p w14:paraId="52A81A55" w14:textId="6BAE0F39" w:rsidR="00D027F2" w:rsidRPr="000872B3" w:rsidRDefault="00D027F2" w:rsidP="00830674">
      <w:pPr>
        <w:spacing w:after="200" w:line="360" w:lineRule="auto"/>
        <w:jc w:val="both"/>
        <w:rPr>
          <w:rFonts w:asciiTheme="majorHAnsi" w:hAnsiTheme="majorHAnsi" w:cs="Times New Roman"/>
          <w:color w:val="000000"/>
          <w:sz w:val="22"/>
          <w:szCs w:val="22"/>
        </w:rPr>
      </w:pPr>
      <w:r w:rsidRPr="000872B3">
        <w:rPr>
          <w:rFonts w:asciiTheme="majorHAnsi" w:hAnsiTheme="majorHAnsi" w:cs="Times New Roman"/>
          <w:color w:val="000000"/>
          <w:sz w:val="22"/>
          <w:szCs w:val="22"/>
        </w:rPr>
        <w:t>MURPHY, P.</w:t>
      </w:r>
      <w:r w:rsidR="00C85802" w:rsidRPr="000872B3">
        <w:rPr>
          <w:rFonts w:asciiTheme="majorHAnsi" w:hAnsiTheme="majorHAnsi" w:cs="Times New Roman"/>
          <w:color w:val="000000"/>
          <w:sz w:val="22"/>
          <w:szCs w:val="22"/>
        </w:rPr>
        <w:t xml:space="preserve"> (1991).</w:t>
      </w:r>
      <w:r w:rsidRPr="000872B3">
        <w:rPr>
          <w:rFonts w:asciiTheme="majorHAnsi" w:hAnsiTheme="majorHAnsi" w:cs="Times New Roman"/>
          <w:color w:val="000000"/>
          <w:sz w:val="22"/>
          <w:szCs w:val="22"/>
        </w:rPr>
        <w:t xml:space="preserve"> </w:t>
      </w:r>
      <w:r w:rsidR="00C85802" w:rsidRPr="000872B3">
        <w:rPr>
          <w:rFonts w:asciiTheme="majorHAnsi" w:hAnsiTheme="majorHAnsi" w:cs="Times New Roman"/>
          <w:color w:val="000000"/>
          <w:sz w:val="22"/>
          <w:szCs w:val="22"/>
        </w:rPr>
        <w:t>“</w:t>
      </w:r>
      <w:r w:rsidRPr="000872B3">
        <w:rPr>
          <w:rFonts w:asciiTheme="majorHAnsi" w:hAnsiTheme="majorHAnsi" w:cs="Times New Roman"/>
          <w:color w:val="000000"/>
          <w:sz w:val="22"/>
          <w:szCs w:val="22"/>
        </w:rPr>
        <w:t>The Limits of Symmetry: A Game Theory Approach to Symmetric and Asymmetric Public Relations</w:t>
      </w:r>
      <w:r w:rsidR="00C85802" w:rsidRPr="000872B3">
        <w:rPr>
          <w:rFonts w:asciiTheme="majorHAnsi" w:hAnsiTheme="majorHAnsi" w:cs="Times New Roman"/>
          <w:color w:val="000000"/>
          <w:sz w:val="22"/>
          <w:szCs w:val="22"/>
        </w:rPr>
        <w:t>”</w:t>
      </w:r>
      <w:r w:rsidR="000872B3" w:rsidRPr="000872B3">
        <w:rPr>
          <w:rFonts w:asciiTheme="majorHAnsi" w:hAnsiTheme="majorHAnsi" w:cs="Times New Roman"/>
          <w:color w:val="000000"/>
          <w:sz w:val="22"/>
          <w:szCs w:val="22"/>
        </w:rPr>
        <w:t>. In</w:t>
      </w:r>
      <w:r w:rsidRPr="000872B3">
        <w:rPr>
          <w:rFonts w:asciiTheme="majorHAnsi" w:hAnsiTheme="majorHAnsi" w:cs="Times New Roman"/>
          <w:color w:val="000000"/>
          <w:sz w:val="22"/>
          <w:szCs w:val="22"/>
        </w:rPr>
        <w:t xml:space="preserve"> GRUNIG, J.; GRUNIG, L. (Eds.). </w:t>
      </w:r>
      <w:r w:rsidRPr="000872B3">
        <w:rPr>
          <w:rFonts w:asciiTheme="majorHAnsi" w:hAnsiTheme="majorHAnsi" w:cs="Times New Roman"/>
          <w:i/>
          <w:color w:val="000000"/>
          <w:sz w:val="22"/>
          <w:szCs w:val="22"/>
        </w:rPr>
        <w:t>Public Relations Research Annual</w:t>
      </w:r>
      <w:r w:rsidRPr="000872B3">
        <w:rPr>
          <w:rFonts w:asciiTheme="majorHAnsi" w:hAnsiTheme="majorHAnsi" w:cs="Times New Roman"/>
          <w:color w:val="000000"/>
          <w:sz w:val="22"/>
          <w:szCs w:val="22"/>
        </w:rPr>
        <w:t>, V. 3, p. 115-131. Hillsdale, NJ: L</w:t>
      </w:r>
      <w:r w:rsidR="00C85802" w:rsidRPr="000872B3">
        <w:rPr>
          <w:rFonts w:asciiTheme="majorHAnsi" w:hAnsiTheme="majorHAnsi" w:cs="Times New Roman"/>
          <w:color w:val="000000"/>
          <w:sz w:val="22"/>
          <w:szCs w:val="22"/>
        </w:rPr>
        <w:t>awrence Erlbaum Associates</w:t>
      </w:r>
      <w:r w:rsidRPr="000872B3">
        <w:rPr>
          <w:rFonts w:asciiTheme="majorHAnsi" w:hAnsiTheme="majorHAnsi" w:cs="Times New Roman"/>
          <w:color w:val="000000"/>
          <w:sz w:val="22"/>
          <w:szCs w:val="22"/>
        </w:rPr>
        <w:t xml:space="preserve">. </w:t>
      </w:r>
    </w:p>
    <w:p w14:paraId="1606FE15" w14:textId="30022C20" w:rsidR="00EA0F0F" w:rsidRPr="000872B3" w:rsidRDefault="00C85802"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 xml:space="preserve">PIECZKA, M. </w:t>
      </w:r>
      <w:r w:rsidR="00EA0F0F" w:rsidRPr="000872B3">
        <w:rPr>
          <w:rFonts w:asciiTheme="majorHAnsi" w:hAnsiTheme="majorHAnsi" w:cs="Times New Roman"/>
          <w:color w:val="000000"/>
          <w:sz w:val="22"/>
          <w:szCs w:val="22"/>
        </w:rPr>
        <w:t xml:space="preserve">(2011). Public Relations as Dialogic Expertise? </w:t>
      </w:r>
      <w:r w:rsidR="00EA0F0F" w:rsidRPr="000872B3">
        <w:rPr>
          <w:rFonts w:asciiTheme="majorHAnsi" w:hAnsiTheme="majorHAnsi" w:cs="Times New Roman"/>
          <w:i/>
          <w:color w:val="000000"/>
          <w:sz w:val="22"/>
          <w:szCs w:val="22"/>
        </w:rPr>
        <w:t>Journal of Communication Management,</w:t>
      </w:r>
      <w:r w:rsidR="00EA0F0F" w:rsidRPr="000872B3">
        <w:rPr>
          <w:rFonts w:asciiTheme="majorHAnsi" w:hAnsiTheme="majorHAnsi" w:cs="Times New Roman"/>
          <w:color w:val="000000"/>
          <w:sz w:val="22"/>
          <w:szCs w:val="22"/>
        </w:rPr>
        <w:t xml:space="preserve"> 15 (2), 108-124</w:t>
      </w:r>
    </w:p>
    <w:p w14:paraId="254E1EE2" w14:textId="2CE45BAE" w:rsidR="00EA0F0F" w:rsidRPr="000872B3" w:rsidRDefault="00EA0F0F"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SAMARCO.</w:t>
      </w:r>
      <w:r w:rsidR="00C85802" w:rsidRPr="000872B3">
        <w:rPr>
          <w:rFonts w:asciiTheme="majorHAnsi" w:hAnsiTheme="majorHAnsi" w:cs="Times New Roman"/>
          <w:color w:val="000000"/>
          <w:sz w:val="22"/>
          <w:szCs w:val="22"/>
        </w:rPr>
        <w:t xml:space="preserve"> (2016). </w:t>
      </w:r>
      <w:r w:rsidRPr="000872B3">
        <w:rPr>
          <w:rFonts w:asciiTheme="majorHAnsi" w:hAnsiTheme="majorHAnsi" w:cs="Times New Roman"/>
          <w:i/>
          <w:color w:val="000000"/>
          <w:sz w:val="22"/>
          <w:szCs w:val="22"/>
        </w:rPr>
        <w:t>Balanço de ações: um ano do rompimento de Fundão</w:t>
      </w:r>
      <w:r w:rsidR="00C85802" w:rsidRPr="000872B3">
        <w:rPr>
          <w:rFonts w:asciiTheme="majorHAnsi" w:hAnsiTheme="majorHAnsi" w:cs="Times New Roman"/>
          <w:color w:val="000000"/>
          <w:sz w:val="22"/>
          <w:szCs w:val="22"/>
        </w:rPr>
        <w:t xml:space="preserve">. </w:t>
      </w:r>
      <w:r w:rsidRPr="000872B3">
        <w:rPr>
          <w:rFonts w:asciiTheme="majorHAnsi" w:hAnsiTheme="majorHAnsi" w:cs="Times New Roman"/>
          <w:color w:val="000000"/>
          <w:sz w:val="22"/>
          <w:szCs w:val="22"/>
        </w:rPr>
        <w:t xml:space="preserve">Recuperado em: 01/03/2017, de </w:t>
      </w:r>
      <w:hyperlink r:id="rId14" w:history="1">
        <w:r w:rsidRPr="000872B3">
          <w:rPr>
            <w:rFonts w:asciiTheme="majorHAnsi" w:hAnsiTheme="majorHAnsi" w:cs="Times New Roman"/>
            <w:color w:val="1155CC"/>
            <w:sz w:val="22"/>
            <w:szCs w:val="22"/>
            <w:u w:val="single"/>
          </w:rPr>
          <w:t>http://www.samarco.com/wp-content/uploads/2016/11/Dossiee_um-ano_03-11_v4.pdf</w:t>
        </w:r>
      </w:hyperlink>
    </w:p>
    <w:p w14:paraId="410380DE" w14:textId="19CF5502" w:rsidR="00EA0F0F" w:rsidRPr="000872B3" w:rsidRDefault="004A6CFD" w:rsidP="00830674">
      <w:pPr>
        <w:spacing w:after="200" w:line="360" w:lineRule="auto"/>
        <w:jc w:val="both"/>
        <w:rPr>
          <w:rFonts w:asciiTheme="majorHAnsi" w:hAnsiTheme="majorHAnsi" w:cs="Times New Roman"/>
          <w:sz w:val="22"/>
          <w:szCs w:val="22"/>
        </w:rPr>
      </w:pPr>
      <w:r w:rsidRPr="000872B3">
        <w:rPr>
          <w:rFonts w:asciiTheme="majorHAnsi" w:hAnsiTheme="majorHAnsi" w:cs="Times New Roman"/>
          <w:color w:val="000000"/>
          <w:sz w:val="22"/>
          <w:szCs w:val="22"/>
        </w:rPr>
        <w:t xml:space="preserve">SIMÕES, P. </w:t>
      </w:r>
      <w:r w:rsidR="00EA0F0F" w:rsidRPr="000872B3">
        <w:rPr>
          <w:rFonts w:asciiTheme="majorHAnsi" w:hAnsiTheme="majorHAnsi" w:cs="Times New Roman"/>
          <w:color w:val="000000"/>
          <w:sz w:val="22"/>
          <w:szCs w:val="22"/>
        </w:rPr>
        <w:t xml:space="preserve">(2012). </w:t>
      </w:r>
      <w:r w:rsidR="00EA0F0F" w:rsidRPr="000872B3">
        <w:rPr>
          <w:rFonts w:asciiTheme="majorHAnsi" w:hAnsiTheme="majorHAnsi" w:cs="Times New Roman"/>
          <w:i/>
          <w:color w:val="000000"/>
          <w:sz w:val="22"/>
          <w:szCs w:val="22"/>
        </w:rPr>
        <w:t>Acontecimento Ronaldo</w:t>
      </w:r>
      <w:r w:rsidR="00EA0F0F" w:rsidRPr="000872B3">
        <w:rPr>
          <w:rFonts w:asciiTheme="majorHAnsi" w:hAnsiTheme="majorHAnsi" w:cs="Times New Roman"/>
          <w:b/>
          <w:bCs/>
          <w:i/>
          <w:color w:val="000000"/>
          <w:sz w:val="22"/>
          <w:szCs w:val="22"/>
        </w:rPr>
        <w:t>:</w:t>
      </w:r>
      <w:r w:rsidR="00EA0F0F" w:rsidRPr="000872B3">
        <w:rPr>
          <w:rFonts w:asciiTheme="majorHAnsi" w:hAnsiTheme="majorHAnsi" w:cs="Times New Roman"/>
          <w:i/>
          <w:color w:val="000000"/>
          <w:sz w:val="22"/>
          <w:szCs w:val="22"/>
        </w:rPr>
        <w:t xml:space="preserve"> a imagem pública de uma celebridade no contexto social contemporâneo</w:t>
      </w:r>
      <w:r w:rsidR="00EA0F0F" w:rsidRPr="000872B3">
        <w:rPr>
          <w:rFonts w:asciiTheme="majorHAnsi" w:hAnsiTheme="majorHAnsi" w:cs="Times New Roman"/>
          <w:color w:val="000000"/>
          <w:sz w:val="22"/>
          <w:szCs w:val="22"/>
        </w:rPr>
        <w:t>. Tese (Doutorado em Comunicação).Belo Horizonte: UFMG .</w:t>
      </w:r>
    </w:p>
    <w:p w14:paraId="3E73AA67" w14:textId="1CA341B6" w:rsidR="00EA0F0F" w:rsidRPr="00EA0F0F" w:rsidRDefault="004A6CFD" w:rsidP="00830674">
      <w:pPr>
        <w:spacing w:after="200" w:line="360" w:lineRule="auto"/>
        <w:jc w:val="both"/>
        <w:rPr>
          <w:rFonts w:ascii="Times" w:hAnsi="Times" w:cs="Times New Roman"/>
          <w:sz w:val="20"/>
          <w:szCs w:val="20"/>
        </w:rPr>
      </w:pPr>
      <w:r w:rsidRPr="000872B3">
        <w:rPr>
          <w:rFonts w:asciiTheme="majorHAnsi" w:hAnsiTheme="majorHAnsi" w:cs="Times New Roman"/>
          <w:color w:val="000000"/>
          <w:sz w:val="22"/>
          <w:szCs w:val="22"/>
        </w:rPr>
        <w:t>VALE</w:t>
      </w:r>
      <w:r w:rsidR="00EA0F0F" w:rsidRPr="000872B3">
        <w:rPr>
          <w:rFonts w:asciiTheme="majorHAnsi" w:hAnsiTheme="majorHAnsi" w:cs="Times New Roman"/>
          <w:color w:val="000000"/>
          <w:sz w:val="22"/>
          <w:szCs w:val="22"/>
        </w:rPr>
        <w:t xml:space="preserve"> (2015). </w:t>
      </w:r>
      <w:r w:rsidR="00EA0F0F" w:rsidRPr="000872B3">
        <w:rPr>
          <w:rFonts w:asciiTheme="majorHAnsi" w:hAnsiTheme="majorHAnsi" w:cs="Times New Roman"/>
          <w:i/>
          <w:color w:val="000000"/>
          <w:sz w:val="22"/>
          <w:szCs w:val="22"/>
        </w:rPr>
        <w:t>Conheça a Vale.  </w:t>
      </w:r>
      <w:r w:rsidR="00EA0F0F" w:rsidRPr="000872B3">
        <w:rPr>
          <w:rFonts w:asciiTheme="majorHAnsi" w:hAnsiTheme="majorHAnsi" w:cs="Times New Roman"/>
          <w:color w:val="000000"/>
          <w:sz w:val="22"/>
          <w:szCs w:val="22"/>
        </w:rPr>
        <w:t xml:space="preserve">Recuperado em 01/03/17, de </w:t>
      </w:r>
      <w:hyperlink r:id="rId15" w:history="1">
        <w:r w:rsidR="00EA0F0F" w:rsidRPr="000872B3">
          <w:rPr>
            <w:rFonts w:asciiTheme="majorHAnsi" w:hAnsiTheme="majorHAnsi" w:cs="Times New Roman"/>
            <w:color w:val="0000FF"/>
            <w:sz w:val="22"/>
            <w:szCs w:val="22"/>
            <w:u w:val="single"/>
          </w:rPr>
          <w:t>http://saladeimprensa.vale.com/PublishingImages/Arquivos_links/Conhe%C3%A7a%20a%20Vale_v2%20(2).pdf</w:t>
        </w:r>
      </w:hyperlink>
      <w:r w:rsidR="00EA0F0F" w:rsidRPr="00EA0F0F">
        <w:rPr>
          <w:rFonts w:ascii="Calibri" w:hAnsi="Calibri" w:cs="Times New Roman"/>
          <w:color w:val="000000"/>
        </w:rPr>
        <w:t>.</w:t>
      </w:r>
    </w:p>
    <w:p w14:paraId="765CFE84" w14:textId="77777777" w:rsidR="00F560C3" w:rsidRDefault="00F560C3" w:rsidP="00830674">
      <w:pPr>
        <w:spacing w:after="200" w:line="360" w:lineRule="auto"/>
      </w:pPr>
    </w:p>
    <w:p w14:paraId="063E6DD6" w14:textId="77777777" w:rsidR="000872B3" w:rsidRDefault="000872B3" w:rsidP="00830674">
      <w:pPr>
        <w:spacing w:after="200" w:line="360" w:lineRule="auto"/>
      </w:pPr>
    </w:p>
    <w:p w14:paraId="62E2E8C9" w14:textId="77777777" w:rsidR="000872B3" w:rsidRPr="00317619" w:rsidRDefault="000872B3" w:rsidP="000872B3">
      <w:pPr>
        <w:ind w:left="3969"/>
        <w:jc w:val="both"/>
        <w:rPr>
          <w:rFonts w:ascii="Calibri" w:hAnsi="Calibri" w:cs="Calibri"/>
          <w:b/>
        </w:rPr>
      </w:pPr>
      <w:r w:rsidRPr="00317619">
        <w:rPr>
          <w:rFonts w:ascii="Calibri" w:hAnsi="Calibri" w:cs="Calibri"/>
          <w:b/>
        </w:rPr>
        <w:t>Forma de</w:t>
      </w:r>
      <w:r>
        <w:rPr>
          <w:rFonts w:ascii="Calibri" w:hAnsi="Calibri" w:cs="Calibri"/>
          <w:b/>
        </w:rPr>
        <w:t xml:space="preserve"> </w:t>
      </w:r>
      <w:r w:rsidRPr="00317619">
        <w:rPr>
          <w:rFonts w:ascii="Calibri" w:hAnsi="Calibri" w:cs="Calibri"/>
          <w:b/>
        </w:rPr>
        <w:t>citar este artículo:</w:t>
      </w:r>
    </w:p>
    <w:p w14:paraId="36094AAD" w14:textId="77777777" w:rsidR="000872B3" w:rsidRPr="00317619" w:rsidRDefault="000872B3" w:rsidP="000872B3">
      <w:pPr>
        <w:ind w:left="3969"/>
        <w:jc w:val="both"/>
        <w:rPr>
          <w:rFonts w:ascii="Calibri" w:hAnsi="Calibri" w:cs="Calibri"/>
          <w:b/>
        </w:rPr>
      </w:pPr>
    </w:p>
    <w:p w14:paraId="1D8298A8" w14:textId="413B6C99" w:rsidR="000872B3" w:rsidRDefault="000872B3" w:rsidP="000872B3">
      <w:pPr>
        <w:ind w:left="3969"/>
        <w:jc w:val="both"/>
        <w:rPr>
          <w:rFonts w:ascii="Calibri" w:hAnsi="Calibri" w:cs="Calibri"/>
          <w:color w:val="000000"/>
          <w:sz w:val="22"/>
          <w:szCs w:val="22"/>
          <w:lang w:eastAsia="es-ES"/>
        </w:rPr>
      </w:pPr>
      <w:r>
        <w:rPr>
          <w:rFonts w:ascii="Calibri" w:hAnsi="Calibri"/>
        </w:rPr>
        <w:t xml:space="preserve">PEREIRA LIMA, F. (2017). </w:t>
      </w:r>
      <w:r w:rsidRPr="000872B3">
        <w:rPr>
          <w:rFonts w:ascii="Calibri" w:hAnsi="Calibri"/>
          <w:bCs/>
        </w:rPr>
        <w:t>Apontamentos críticos dos modelos de Relações Públicas excelentes no maior desastre ambiental do Brasil</w:t>
      </w:r>
      <w:r>
        <w:rPr>
          <w:rFonts w:ascii="Calibri" w:hAnsi="Calibri"/>
          <w:bCs/>
        </w:rPr>
        <w:t>.</w:t>
      </w:r>
      <w:r w:rsidRPr="000872B3">
        <w:rPr>
          <w:rFonts w:ascii="Calibri" w:hAnsi="Calibri"/>
          <w:bCs/>
          <w:i/>
        </w:rPr>
        <w:t xml:space="preserve"> </w:t>
      </w:r>
      <w:r w:rsidRPr="00317619">
        <w:rPr>
          <w:rFonts w:ascii="Calibri" w:hAnsi="Calibri" w:cs="Cambria"/>
          <w:bCs/>
          <w:i/>
        </w:rPr>
        <w:t>Revista Internacional de Relaciones Públicas</w:t>
      </w:r>
      <w:r w:rsidR="00CD1FDF">
        <w:rPr>
          <w:rFonts w:ascii="Calibri" w:hAnsi="Calibri" w:cs="Cambria"/>
          <w:bCs/>
        </w:rPr>
        <w:t>, Vol. VII, Nº 13, 181-198</w:t>
      </w:r>
      <w:r>
        <w:rPr>
          <w:rFonts w:ascii="Calibri" w:hAnsi="Calibri" w:cs="Cambria"/>
          <w:bCs/>
        </w:rPr>
        <w:t xml:space="preserve">. </w:t>
      </w:r>
      <w:r>
        <w:rPr>
          <w:rFonts w:ascii="Calibri" w:hAnsi="Calibri" w:cs="Calibri"/>
          <w:color w:val="000000"/>
          <w:sz w:val="22"/>
          <w:szCs w:val="22"/>
          <w:lang w:eastAsia="es-ES"/>
        </w:rPr>
        <w:t>Recuperado el  __  de ___________ de ____, de http://dx.doi.org/</w:t>
      </w:r>
    </w:p>
    <w:p w14:paraId="36271549" w14:textId="77777777" w:rsidR="000872B3" w:rsidRDefault="000872B3" w:rsidP="000872B3">
      <w:pPr>
        <w:ind w:left="3969"/>
        <w:jc w:val="both"/>
        <w:rPr>
          <w:rFonts w:ascii="Calibri" w:hAnsi="Calibri" w:cs="Cambria"/>
          <w:bCs/>
        </w:rPr>
      </w:pPr>
    </w:p>
    <w:p w14:paraId="0F183679" w14:textId="77777777" w:rsidR="000872B3" w:rsidRDefault="000872B3" w:rsidP="00830674">
      <w:pPr>
        <w:spacing w:after="200" w:line="360" w:lineRule="auto"/>
      </w:pPr>
      <w:bookmarkStart w:id="0" w:name="_GoBack"/>
      <w:bookmarkEnd w:id="0"/>
    </w:p>
    <w:sectPr w:rsidR="000872B3" w:rsidSect="00CD1FDF">
      <w:headerReference w:type="even" r:id="rId16"/>
      <w:headerReference w:type="default" r:id="rId17"/>
      <w:footerReference w:type="even" r:id="rId18"/>
      <w:footerReference w:type="default" r:id="rId19"/>
      <w:pgSz w:w="11900" w:h="16840"/>
      <w:pgMar w:top="1418" w:right="1418" w:bottom="1418" w:left="1418" w:header="709" w:footer="709" w:gutter="0"/>
      <w:pgNumType w:start="18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5B67E" w14:textId="77777777" w:rsidR="00E30A13" w:rsidRDefault="00E30A13" w:rsidP="00EA0F0F">
      <w:r>
        <w:separator/>
      </w:r>
    </w:p>
  </w:endnote>
  <w:endnote w:type="continuationSeparator" w:id="0">
    <w:p w14:paraId="1E34D4B2" w14:textId="77777777" w:rsidR="00E30A13" w:rsidRDefault="00E30A13" w:rsidP="00EA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CDF6" w14:textId="77777777" w:rsidR="005629F0" w:rsidRPr="00596441" w:rsidRDefault="005629F0" w:rsidP="005629F0">
    <w:pPr>
      <w:pStyle w:val="Piedepgina"/>
      <w:framePr w:wrap="around" w:vAnchor="text" w:hAnchor="margin" w:xAlign="outside" w:y="1"/>
      <w:rPr>
        <w:rStyle w:val="Nmerodepgina"/>
        <w:rFonts w:ascii="Cambria" w:hAnsi="Cambria"/>
        <w:sz w:val="20"/>
        <w:szCs w:val="20"/>
      </w:rPr>
    </w:pPr>
    <w:r w:rsidRPr="00596441">
      <w:rPr>
        <w:rStyle w:val="Nmerodepgina"/>
        <w:rFonts w:ascii="Cambria" w:hAnsi="Cambria"/>
        <w:sz w:val="20"/>
        <w:szCs w:val="20"/>
      </w:rPr>
      <w:fldChar w:fldCharType="begin"/>
    </w:r>
    <w:r>
      <w:rPr>
        <w:rStyle w:val="Nmerodepgina"/>
        <w:rFonts w:ascii="Cambria" w:hAnsi="Cambria"/>
        <w:sz w:val="20"/>
        <w:szCs w:val="20"/>
      </w:rPr>
      <w:instrText>PAGE</w:instrText>
    </w:r>
    <w:r w:rsidRPr="00596441">
      <w:rPr>
        <w:rStyle w:val="Nmerodepgina"/>
        <w:rFonts w:ascii="Cambria" w:hAnsi="Cambria"/>
        <w:sz w:val="20"/>
        <w:szCs w:val="20"/>
      </w:rPr>
      <w:instrText xml:space="preserve">  </w:instrText>
    </w:r>
    <w:r w:rsidRPr="00596441">
      <w:rPr>
        <w:rStyle w:val="Nmerodepgina"/>
        <w:rFonts w:ascii="Cambria" w:hAnsi="Cambria"/>
        <w:sz w:val="20"/>
        <w:szCs w:val="20"/>
      </w:rPr>
      <w:fldChar w:fldCharType="separate"/>
    </w:r>
    <w:r w:rsidR="00CD1FDF">
      <w:rPr>
        <w:rStyle w:val="Nmerodepgina"/>
        <w:rFonts w:ascii="Cambria" w:hAnsi="Cambria"/>
        <w:noProof/>
        <w:sz w:val="20"/>
        <w:szCs w:val="20"/>
      </w:rPr>
      <w:t>198</w:t>
    </w:r>
    <w:r w:rsidRPr="00596441">
      <w:rPr>
        <w:rStyle w:val="Nmerodepgina"/>
        <w:rFonts w:ascii="Cambria" w:hAnsi="Cambria"/>
        <w:sz w:val="20"/>
        <w:szCs w:val="20"/>
      </w:rPr>
      <w:fldChar w:fldCharType="end"/>
    </w:r>
  </w:p>
  <w:p w14:paraId="5AE938BF" w14:textId="77777777" w:rsidR="005629F0" w:rsidRPr="00596441" w:rsidRDefault="005629F0" w:rsidP="005629F0">
    <w:pPr>
      <w:pStyle w:val="Piedepgina"/>
      <w:ind w:right="-1" w:firstLine="360"/>
      <w:rPr>
        <w:rFonts w:ascii="Cambria" w:hAnsi="Cambria"/>
        <w:sz w:val="20"/>
        <w:szCs w:val="20"/>
      </w:rPr>
    </w:pPr>
    <w:r>
      <w:rPr>
        <w:rFonts w:ascii="Cambria" w:hAnsi="Cambria"/>
        <w:sz w:val="20"/>
        <w:szCs w:val="20"/>
        <w:lang w:val="es-ES" w:eastAsia="es-ES"/>
      </w:rPr>
      <w:t xml:space="preserve">                                                                                                                                                                    ISSN: 2174-36</w:t>
    </w:r>
    <w:r w:rsidRPr="00DD197D">
      <w:rPr>
        <w:rFonts w:ascii="Cambria" w:hAnsi="Cambria"/>
        <w:sz w:val="20"/>
        <w:szCs w:val="20"/>
        <w:lang w:val="es-ES" w:eastAsia="es-ES"/>
      </w:rPr>
      <w:t>81</w:t>
    </w:r>
    <w:r w:rsidRPr="00596441">
      <w:rPr>
        <w:rStyle w:val="Nmerodepgina"/>
        <w:rFonts w:ascii="Cambria" w:hAnsi="Cambria"/>
        <w:sz w:val="20"/>
        <w:szCs w:val="20"/>
      </w:rPr>
      <w:t xml:space="preserve">                                                                                                                                                                                    </w:t>
    </w:r>
  </w:p>
  <w:p w14:paraId="4032E42F" w14:textId="77777777" w:rsidR="005629F0" w:rsidRDefault="005629F0" w:rsidP="005629F0">
    <w:pPr>
      <w:pStyle w:val="Piedepgina"/>
    </w:pPr>
  </w:p>
  <w:p w14:paraId="39E73AB1" w14:textId="77777777" w:rsidR="005629F0" w:rsidRDefault="005629F0" w:rsidP="005629F0">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1711" w14:textId="78AE1DE1" w:rsidR="005629F0" w:rsidRPr="00ED18D4" w:rsidRDefault="005629F0" w:rsidP="005629F0">
    <w:pPr>
      <w:pStyle w:val="Piedepgina"/>
      <w:framePr w:wrap="around" w:vAnchor="text" w:hAnchor="margin" w:xAlign="outside" w:y="1"/>
      <w:rPr>
        <w:rStyle w:val="Nmerodepgina"/>
        <w:rFonts w:ascii="Cambria" w:hAnsi="Cambria"/>
        <w:sz w:val="20"/>
        <w:szCs w:val="20"/>
        <w:lang w:val="es-ES" w:eastAsia="es-ES"/>
      </w:rPr>
    </w:pPr>
    <w:r>
      <w:rPr>
        <w:rFonts w:ascii="Cambria" w:hAnsi="Cambria"/>
        <w:sz w:val="20"/>
        <w:szCs w:val="20"/>
        <w:lang w:val="es-ES" w:eastAsia="es-ES"/>
      </w:rPr>
      <w:t>ISSN:2174-36</w:t>
    </w:r>
    <w:r w:rsidRPr="00DD197D">
      <w:rPr>
        <w:rFonts w:ascii="Cambria" w:hAnsi="Cambria"/>
        <w:sz w:val="20"/>
        <w:szCs w:val="20"/>
        <w:lang w:val="es-ES" w:eastAsia="es-ES"/>
      </w:rPr>
      <w:t xml:space="preserve">81 </w:t>
    </w:r>
    <w:r w:rsidR="00830674">
      <w:rPr>
        <w:rFonts w:ascii="Cambria" w:hAnsi="Cambria"/>
        <w:sz w:val="20"/>
        <w:szCs w:val="20"/>
        <w:lang w:val="es-ES" w:eastAsia="es-ES"/>
      </w:rPr>
      <w:t xml:space="preserve">     </w:t>
    </w:r>
    <w:r>
      <w:rPr>
        <w:rFonts w:ascii="Cambria" w:hAnsi="Cambria"/>
        <w:sz w:val="20"/>
        <w:szCs w:val="20"/>
        <w:lang w:val="es-ES" w:eastAsia="es-ES"/>
      </w:rPr>
      <w:t xml:space="preserve">                                                                                                                                                                </w:t>
    </w:r>
    <w:r w:rsidRPr="00ED18D4">
      <w:rPr>
        <w:rStyle w:val="Nmerodepgina"/>
        <w:rFonts w:ascii="Cambria" w:hAnsi="Cambria"/>
        <w:sz w:val="20"/>
        <w:szCs w:val="20"/>
      </w:rPr>
      <w:fldChar w:fldCharType="begin"/>
    </w:r>
    <w:r>
      <w:rPr>
        <w:rStyle w:val="Nmerodepgina"/>
        <w:rFonts w:ascii="Cambria" w:hAnsi="Cambria"/>
        <w:sz w:val="20"/>
        <w:szCs w:val="20"/>
      </w:rPr>
      <w:instrText>PAGE</w:instrText>
    </w:r>
    <w:r w:rsidRPr="00ED18D4">
      <w:rPr>
        <w:rStyle w:val="Nmerodepgina"/>
        <w:rFonts w:ascii="Cambria" w:hAnsi="Cambria"/>
        <w:sz w:val="20"/>
        <w:szCs w:val="20"/>
      </w:rPr>
      <w:instrText xml:space="preserve">  </w:instrText>
    </w:r>
    <w:r w:rsidRPr="00ED18D4">
      <w:rPr>
        <w:rStyle w:val="Nmerodepgina"/>
        <w:rFonts w:ascii="Cambria" w:hAnsi="Cambria"/>
        <w:sz w:val="20"/>
        <w:szCs w:val="20"/>
      </w:rPr>
      <w:fldChar w:fldCharType="separate"/>
    </w:r>
    <w:r w:rsidR="00E30A13">
      <w:rPr>
        <w:rStyle w:val="Nmerodepgina"/>
        <w:rFonts w:ascii="Cambria" w:hAnsi="Cambria"/>
        <w:noProof/>
        <w:sz w:val="20"/>
        <w:szCs w:val="20"/>
      </w:rPr>
      <w:t>181</w:t>
    </w:r>
    <w:r w:rsidRPr="00ED18D4">
      <w:rPr>
        <w:rStyle w:val="Nmerodepgina"/>
        <w:rFonts w:ascii="Cambria" w:hAnsi="Cambria"/>
        <w:sz w:val="20"/>
        <w:szCs w:val="20"/>
      </w:rPr>
      <w:fldChar w:fldCharType="end"/>
    </w:r>
    <w:r w:rsidRPr="00ED18D4">
      <w:rPr>
        <w:rStyle w:val="Nmerodepgina"/>
        <w:rFonts w:ascii="Cambria" w:hAnsi="Cambria"/>
        <w:sz w:val="20"/>
        <w:szCs w:val="20"/>
      </w:rPr>
      <w:t xml:space="preserve">   </w:t>
    </w:r>
  </w:p>
  <w:p w14:paraId="2A27D7A5" w14:textId="77777777" w:rsidR="005629F0" w:rsidRPr="00DD197D" w:rsidRDefault="005629F0" w:rsidP="005629F0">
    <w:pPr>
      <w:pStyle w:val="Piedepgina"/>
      <w:ind w:right="360" w:firstLine="360"/>
      <w:rPr>
        <w:rFonts w:ascii="Cambria" w:hAnsi="Cambria"/>
        <w:sz w:val="20"/>
        <w:szCs w:val="20"/>
      </w:rPr>
    </w:pPr>
  </w:p>
  <w:p w14:paraId="32074DFF" w14:textId="346A7A2E" w:rsidR="00E12434" w:rsidRPr="00EA0F0F" w:rsidRDefault="00E12434" w:rsidP="005629F0">
    <w:pPr>
      <w:jc w:val="right"/>
      <w:rPr>
        <w:rFonts w:ascii="Times" w:hAnsi="Times" w:cs="Times New Roman"/>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D0D75" w14:textId="77777777" w:rsidR="00E30A13" w:rsidRDefault="00E30A13" w:rsidP="00EA0F0F">
      <w:r>
        <w:separator/>
      </w:r>
    </w:p>
  </w:footnote>
  <w:footnote w:type="continuationSeparator" w:id="0">
    <w:p w14:paraId="3E1E2DDE" w14:textId="77777777" w:rsidR="00E30A13" w:rsidRDefault="00E30A13" w:rsidP="00EA0F0F">
      <w:r>
        <w:continuationSeparator/>
      </w:r>
    </w:p>
  </w:footnote>
  <w:footnote w:id="1">
    <w:p w14:paraId="1042ACE6" w14:textId="112FFBF8" w:rsidR="00211CB7" w:rsidRPr="00703423" w:rsidRDefault="00211CB7" w:rsidP="005E707B">
      <w:pPr>
        <w:pStyle w:val="Textonotapie"/>
        <w:jc w:val="both"/>
        <w:rPr>
          <w:rFonts w:asciiTheme="majorHAnsi" w:hAnsiTheme="majorHAnsi"/>
          <w:sz w:val="20"/>
          <w:szCs w:val="20"/>
        </w:rPr>
      </w:pPr>
      <w:r w:rsidRPr="005E707B">
        <w:rPr>
          <w:rStyle w:val="Refdenotaalpie"/>
          <w:sz w:val="20"/>
          <w:szCs w:val="20"/>
        </w:rPr>
        <w:footnoteRef/>
      </w:r>
      <w:r w:rsidRPr="005E707B">
        <w:rPr>
          <w:sz w:val="20"/>
          <w:szCs w:val="20"/>
        </w:rPr>
        <w:t xml:space="preserve"> </w:t>
      </w:r>
      <w:r w:rsidR="00703423" w:rsidRPr="00703423">
        <w:rPr>
          <w:rFonts w:asciiTheme="majorHAnsi" w:hAnsiTheme="majorHAnsi"/>
          <w:sz w:val="20"/>
          <w:szCs w:val="20"/>
        </w:rPr>
        <w:t>Fabia Oereira Lima es</w:t>
      </w:r>
      <w:r w:rsidR="00703423">
        <w:rPr>
          <w:rFonts w:asciiTheme="majorHAnsi" w:hAnsiTheme="majorHAnsi"/>
          <w:sz w:val="20"/>
          <w:szCs w:val="20"/>
        </w:rPr>
        <w:t xml:space="preserve"> professora em </w:t>
      </w:r>
      <w:r w:rsidR="00703423" w:rsidRPr="00703423">
        <w:rPr>
          <w:rFonts w:asciiTheme="majorHAnsi" w:hAnsiTheme="majorHAnsi"/>
          <w:sz w:val="20"/>
          <w:szCs w:val="20"/>
        </w:rPr>
        <w:t>Universidade Federal de Minas Gerais, UFMG, Brazil</w:t>
      </w:r>
      <w:r w:rsidR="00703423">
        <w:rPr>
          <w:rFonts w:asciiTheme="majorHAnsi" w:hAnsiTheme="majorHAnsi"/>
          <w:sz w:val="20"/>
          <w:szCs w:val="20"/>
        </w:rPr>
        <w:t xml:space="preserve">. </w:t>
      </w:r>
      <w:r w:rsidRPr="00703423">
        <w:rPr>
          <w:rFonts w:asciiTheme="majorHAnsi" w:hAnsiTheme="majorHAnsi"/>
          <w:sz w:val="20"/>
          <w:szCs w:val="20"/>
          <w:lang w:val="en-US"/>
        </w:rPr>
        <w:t>O presente trabalho contou com a colaboração da pesquisadora Marlene Machado e dos estudantes de iniciação científica da UFMG: Carmem Pimenta, Cláudia Amorim e Lucas Tiago Pereira.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36"/>
      <w:gridCol w:w="1158"/>
    </w:tblGrid>
    <w:tr w:rsidR="0028549D" w14:paraId="1BC3BF7D" w14:textId="77777777" w:rsidTr="00257E24">
      <w:trPr>
        <w:trHeight w:val="288"/>
      </w:trPr>
      <w:tc>
        <w:tcPr>
          <w:tcW w:w="7765" w:type="dxa"/>
        </w:tcPr>
        <w:p w14:paraId="24C70A43" w14:textId="4F7ABDF9" w:rsidR="0028549D" w:rsidRPr="00B03FA3" w:rsidRDefault="0028549D" w:rsidP="00257E24">
          <w:pPr>
            <w:pStyle w:val="Encabezado"/>
            <w:jc w:val="right"/>
            <w:rPr>
              <w:rFonts w:ascii="Cambria" w:hAnsi="Cambria"/>
              <w:sz w:val="20"/>
              <w:szCs w:val="20"/>
              <w:lang w:val="es-ES" w:eastAsia="ko-KR"/>
            </w:rPr>
          </w:pPr>
          <w:r w:rsidRPr="008A3B56">
            <w:rPr>
              <w:rFonts w:ascii="Cambria" w:hAnsi="Cambria"/>
              <w:sz w:val="20"/>
              <w:szCs w:val="20"/>
              <w:lang w:val="es-ES" w:eastAsia="ko-KR"/>
            </w:rPr>
            <w:t>REVISTA INTERNACIONAL DE RELACIONES PÚBLIC</w:t>
          </w:r>
          <w:r w:rsidR="00CD1FDF">
            <w:rPr>
              <w:rFonts w:ascii="Cambria" w:hAnsi="Cambria"/>
              <w:sz w:val="20"/>
              <w:szCs w:val="20"/>
              <w:lang w:val="es-ES" w:eastAsia="ko-KR"/>
            </w:rPr>
            <w:t>AS, Nº 13, VOL. VII [Páginas 181-198</w:t>
          </w:r>
          <w:r w:rsidRPr="008A3B56">
            <w:rPr>
              <w:rFonts w:ascii="Cambria" w:hAnsi="Cambria"/>
              <w:sz w:val="20"/>
              <w:szCs w:val="20"/>
              <w:lang w:val="es-ES" w:eastAsia="ko-KR"/>
            </w:rPr>
            <w:t xml:space="preserve">]  </w:t>
          </w:r>
        </w:p>
      </w:tc>
      <w:tc>
        <w:tcPr>
          <w:tcW w:w="1105" w:type="dxa"/>
        </w:tcPr>
        <w:p w14:paraId="02E163F1" w14:textId="3F856AA9" w:rsidR="0028549D" w:rsidRPr="008A3B56" w:rsidRDefault="0028549D" w:rsidP="00257E24">
          <w:pPr>
            <w:pStyle w:val="Encabezado"/>
            <w:rPr>
              <w:rFonts w:ascii="Cambria" w:hAnsi="Cambria"/>
              <w:b/>
              <w:bCs/>
              <w:color w:val="4F81BD"/>
              <w:sz w:val="20"/>
              <w:szCs w:val="20"/>
            </w:rPr>
          </w:pPr>
          <w:r>
            <w:rPr>
              <w:rFonts w:ascii="Cambria" w:hAnsi="Cambria"/>
              <w:b/>
              <w:bCs/>
              <w:sz w:val="20"/>
              <w:szCs w:val="20"/>
            </w:rPr>
            <w:t>2017</w:t>
          </w:r>
        </w:p>
      </w:tc>
    </w:tr>
  </w:tbl>
  <w:p w14:paraId="29CB8E1E" w14:textId="77777777" w:rsidR="0028549D" w:rsidRDefault="0028549D">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C0E6" w14:textId="77777777" w:rsidR="00E12434" w:rsidRPr="00EA0F0F" w:rsidRDefault="00E12434" w:rsidP="00EA0F0F">
    <w:pPr>
      <w:rPr>
        <w:rFonts w:ascii="Times" w:hAnsi="Times" w:cs="Times New Roman"/>
        <w:sz w:val="20"/>
        <w:szCs w:val="20"/>
      </w:rPr>
    </w:pPr>
    <w:r w:rsidRPr="00EA0F0F">
      <w:rPr>
        <w:rFonts w:ascii="Times" w:hAnsi="Times" w:cs="Times New Roman"/>
        <w:sz w:val="20"/>
        <w:szCs w:val="20"/>
      </w:rPr>
      <w:t>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36"/>
      <w:gridCol w:w="1158"/>
    </w:tblGrid>
    <w:tr w:rsidR="0028549D" w:rsidRPr="0028549D" w14:paraId="5468DAB0" w14:textId="77777777" w:rsidTr="0028549D">
      <w:trPr>
        <w:trHeight w:val="288"/>
      </w:trPr>
      <w:tc>
        <w:tcPr>
          <w:tcW w:w="7765" w:type="dxa"/>
        </w:tcPr>
        <w:p w14:paraId="3BD7E4DF" w14:textId="1C9A364F" w:rsidR="0028549D" w:rsidRPr="0028549D" w:rsidRDefault="00CD1FDF" w:rsidP="0028549D">
          <w:pPr>
            <w:tabs>
              <w:tab w:val="center" w:pos="4252"/>
              <w:tab w:val="right" w:pos="8504"/>
            </w:tabs>
            <w:rPr>
              <w:rFonts w:ascii="Cambria" w:eastAsia="Times New Roman" w:hAnsi="Cambria" w:cs="Times New Roman"/>
              <w:sz w:val="20"/>
              <w:szCs w:val="20"/>
              <w:lang w:val="es-ES" w:eastAsia="ko-KR"/>
            </w:rPr>
          </w:pPr>
          <w:r>
            <w:rPr>
              <w:rFonts w:ascii="Cambria" w:eastAsia="Times New Roman" w:hAnsi="Cambria" w:cs="Times New Roman"/>
              <w:sz w:val="20"/>
              <w:szCs w:val="20"/>
              <w:lang w:val="es-ES" w:eastAsia="ko-KR"/>
            </w:rPr>
            <w:t xml:space="preserve">     </w:t>
          </w:r>
          <w:r w:rsidR="0028549D" w:rsidRPr="0028549D">
            <w:rPr>
              <w:rFonts w:ascii="Cambria" w:eastAsia="Times New Roman" w:hAnsi="Cambria" w:cs="Times New Roman"/>
              <w:sz w:val="20"/>
              <w:szCs w:val="20"/>
              <w:lang w:val="es-ES" w:eastAsia="ko-KR"/>
            </w:rPr>
            <w:t>REVISTA INTERNACIONAL DE RELACIONES PÚBLIC</w:t>
          </w:r>
          <w:r>
            <w:rPr>
              <w:rFonts w:ascii="Cambria" w:eastAsia="Times New Roman" w:hAnsi="Cambria" w:cs="Times New Roman"/>
              <w:sz w:val="20"/>
              <w:szCs w:val="20"/>
              <w:lang w:val="es-ES" w:eastAsia="ko-KR"/>
            </w:rPr>
            <w:t>AS, Nº 13, VOL. VII [Páginas 181-198</w:t>
          </w:r>
          <w:r w:rsidR="0028549D">
            <w:rPr>
              <w:rFonts w:ascii="Cambria" w:eastAsia="Times New Roman" w:hAnsi="Cambria" w:cs="Times New Roman"/>
              <w:sz w:val="20"/>
              <w:szCs w:val="20"/>
              <w:lang w:val="es-ES" w:eastAsia="ko-KR"/>
            </w:rPr>
            <w:t>]</w:t>
          </w:r>
        </w:p>
      </w:tc>
      <w:tc>
        <w:tcPr>
          <w:tcW w:w="1105" w:type="dxa"/>
        </w:tcPr>
        <w:p w14:paraId="6474157A" w14:textId="1F1FEEBC" w:rsidR="0028549D" w:rsidRPr="0028549D" w:rsidRDefault="0028549D" w:rsidP="0028549D">
          <w:pPr>
            <w:tabs>
              <w:tab w:val="center" w:pos="4252"/>
              <w:tab w:val="right" w:pos="8504"/>
            </w:tabs>
            <w:rPr>
              <w:rFonts w:ascii="Cambria" w:eastAsia="Times New Roman" w:hAnsi="Cambria" w:cs="Times New Roman"/>
              <w:b/>
              <w:bCs/>
              <w:color w:val="4F81BD"/>
              <w:sz w:val="20"/>
              <w:szCs w:val="20"/>
              <w:lang w:eastAsia="pt-BR"/>
            </w:rPr>
          </w:pPr>
          <w:r w:rsidRPr="0028549D">
            <w:rPr>
              <w:rFonts w:ascii="Cambria" w:eastAsia="Times New Roman" w:hAnsi="Cambria" w:cs="Times New Roman"/>
              <w:b/>
              <w:bCs/>
              <w:sz w:val="20"/>
              <w:szCs w:val="20"/>
              <w:lang w:eastAsia="pt-BR"/>
            </w:rPr>
            <w:t>201</w:t>
          </w:r>
          <w:r>
            <w:rPr>
              <w:rFonts w:ascii="Cambria" w:eastAsia="Times New Roman" w:hAnsi="Cambria" w:cs="Times New Roman"/>
              <w:b/>
              <w:bCs/>
              <w:sz w:val="20"/>
              <w:szCs w:val="20"/>
              <w:lang w:eastAsia="pt-BR"/>
            </w:rPr>
            <w:t>7</w:t>
          </w:r>
        </w:p>
      </w:tc>
    </w:tr>
  </w:tbl>
  <w:p w14:paraId="02E717FA" w14:textId="6DE951E1" w:rsidR="0028549D" w:rsidRPr="0028549D" w:rsidRDefault="00E12434" w:rsidP="0028549D">
    <w:pPr>
      <w:rPr>
        <w:rFonts w:ascii="Times" w:hAnsi="Times" w:cs="Times New Roman"/>
        <w:sz w:val="20"/>
        <w:szCs w:val="20"/>
      </w:rPr>
    </w:pPr>
    <w:r w:rsidRPr="00EA0F0F">
      <w:rPr>
        <w:rFonts w:ascii="Times" w:hAnsi="Times" w:cs="Times New Roman"/>
        <w:sz w:val="20"/>
        <w:szCs w:val="20"/>
      </w:rPr>
      <w:t> </w:t>
    </w:r>
  </w:p>
  <w:p w14:paraId="34724B7F" w14:textId="489F9EDF" w:rsidR="00E12434" w:rsidRPr="00EA0F0F" w:rsidRDefault="00E12434" w:rsidP="0028549D">
    <w:pPr>
      <w:rPr>
        <w:rFonts w:ascii="Times" w:hAnsi="Times"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hyphenationZone w:val="425"/>
  <w:evenAndOddHeader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0F"/>
    <w:rsid w:val="00002192"/>
    <w:rsid w:val="000238FC"/>
    <w:rsid w:val="00057F55"/>
    <w:rsid w:val="00062769"/>
    <w:rsid w:val="000812F8"/>
    <w:rsid w:val="000872B3"/>
    <w:rsid w:val="0009285A"/>
    <w:rsid w:val="00095BA6"/>
    <w:rsid w:val="000A57C3"/>
    <w:rsid w:val="00143693"/>
    <w:rsid w:val="001968EE"/>
    <w:rsid w:val="001A36F5"/>
    <w:rsid w:val="001C0A52"/>
    <w:rsid w:val="00203E36"/>
    <w:rsid w:val="00211CB7"/>
    <w:rsid w:val="0028549D"/>
    <w:rsid w:val="002A181A"/>
    <w:rsid w:val="002A4281"/>
    <w:rsid w:val="0035522F"/>
    <w:rsid w:val="004422F2"/>
    <w:rsid w:val="00452307"/>
    <w:rsid w:val="004A6CFD"/>
    <w:rsid w:val="005163D8"/>
    <w:rsid w:val="005629F0"/>
    <w:rsid w:val="005E707B"/>
    <w:rsid w:val="00657D92"/>
    <w:rsid w:val="006D17E1"/>
    <w:rsid w:val="006E1E2D"/>
    <w:rsid w:val="006F5E3D"/>
    <w:rsid w:val="00703423"/>
    <w:rsid w:val="00722403"/>
    <w:rsid w:val="00830674"/>
    <w:rsid w:val="008E216C"/>
    <w:rsid w:val="008E6A29"/>
    <w:rsid w:val="00911E41"/>
    <w:rsid w:val="00914F12"/>
    <w:rsid w:val="0092706A"/>
    <w:rsid w:val="00937612"/>
    <w:rsid w:val="009A54EA"/>
    <w:rsid w:val="00A631DE"/>
    <w:rsid w:val="00A72BD7"/>
    <w:rsid w:val="00A7775A"/>
    <w:rsid w:val="00A91F4E"/>
    <w:rsid w:val="00A94DFA"/>
    <w:rsid w:val="00AB479E"/>
    <w:rsid w:val="00AC3D5A"/>
    <w:rsid w:val="00B464A5"/>
    <w:rsid w:val="00B52A89"/>
    <w:rsid w:val="00B57215"/>
    <w:rsid w:val="00B87144"/>
    <w:rsid w:val="00BA2BC9"/>
    <w:rsid w:val="00BB4986"/>
    <w:rsid w:val="00C13583"/>
    <w:rsid w:val="00C22214"/>
    <w:rsid w:val="00C85802"/>
    <w:rsid w:val="00CA375C"/>
    <w:rsid w:val="00CD1FDF"/>
    <w:rsid w:val="00CD5E8F"/>
    <w:rsid w:val="00D027F2"/>
    <w:rsid w:val="00DE24A6"/>
    <w:rsid w:val="00E12434"/>
    <w:rsid w:val="00E2768F"/>
    <w:rsid w:val="00E30A13"/>
    <w:rsid w:val="00E420A0"/>
    <w:rsid w:val="00E97C84"/>
    <w:rsid w:val="00EA0F0F"/>
    <w:rsid w:val="00EF561E"/>
    <w:rsid w:val="00EF7BE1"/>
    <w:rsid w:val="00F45FA1"/>
    <w:rsid w:val="00F518AA"/>
    <w:rsid w:val="00F560C3"/>
    <w:rsid w:val="00F67467"/>
    <w:rsid w:val="00F86ADF"/>
  </w:rsids>
  <m:mathPr>
    <m:mathFont m:val="Cambria Math"/>
    <m:brkBin m:val="before"/>
    <m:brkBinSub m:val="--"/>
    <m:smallFrac m:val="0"/>
    <m:dispDef/>
    <m:lMargin m:val="0"/>
    <m:rMargin m:val="0"/>
    <m:defJc m:val="centerGroup"/>
    <m:wrapIndent m:val="1440"/>
    <m:intLim m:val="subSup"/>
    <m:naryLim m:val="undOvr"/>
  </m:mathPr>
  <w:themeFontLang w:val="pt-B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1499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0F0F"/>
    <w:pPr>
      <w:spacing w:before="100" w:beforeAutospacing="1" w:after="100" w:afterAutospacing="1"/>
    </w:pPr>
    <w:rPr>
      <w:rFonts w:ascii="Times" w:hAnsi="Times" w:cs="Times New Roman"/>
      <w:sz w:val="20"/>
      <w:szCs w:val="20"/>
    </w:rPr>
  </w:style>
  <w:style w:type="character" w:styleId="Hipervnculo">
    <w:name w:val="Hyperlink"/>
    <w:basedOn w:val="Fuentedeprrafopredeter"/>
    <w:unhideWhenUsed/>
    <w:rsid w:val="00EA0F0F"/>
    <w:rPr>
      <w:color w:val="0000FF"/>
      <w:u w:val="single"/>
    </w:rPr>
  </w:style>
  <w:style w:type="character" w:customStyle="1" w:styleId="apple-tab-span">
    <w:name w:val="apple-tab-span"/>
    <w:basedOn w:val="Fuentedeprrafopredeter"/>
    <w:rsid w:val="00EA0F0F"/>
  </w:style>
  <w:style w:type="paragraph" w:styleId="Encabezado">
    <w:name w:val="header"/>
    <w:basedOn w:val="Normal"/>
    <w:link w:val="EncabezadoCar"/>
    <w:uiPriority w:val="99"/>
    <w:unhideWhenUsed/>
    <w:rsid w:val="00EA0F0F"/>
    <w:pPr>
      <w:tabs>
        <w:tab w:val="center" w:pos="4320"/>
        <w:tab w:val="right" w:pos="8640"/>
      </w:tabs>
    </w:pPr>
  </w:style>
  <w:style w:type="character" w:customStyle="1" w:styleId="EncabezadoCar">
    <w:name w:val="Encabezado Car"/>
    <w:basedOn w:val="Fuentedeprrafopredeter"/>
    <w:link w:val="Encabezado"/>
    <w:uiPriority w:val="99"/>
    <w:rsid w:val="00EA0F0F"/>
  </w:style>
  <w:style w:type="paragraph" w:styleId="Piedepgina">
    <w:name w:val="footer"/>
    <w:basedOn w:val="Normal"/>
    <w:link w:val="PiedepginaCar"/>
    <w:uiPriority w:val="99"/>
    <w:unhideWhenUsed/>
    <w:rsid w:val="00EA0F0F"/>
    <w:pPr>
      <w:tabs>
        <w:tab w:val="center" w:pos="4320"/>
        <w:tab w:val="right" w:pos="8640"/>
      </w:tabs>
    </w:pPr>
  </w:style>
  <w:style w:type="character" w:customStyle="1" w:styleId="PiedepginaCar">
    <w:name w:val="Pie de página Car"/>
    <w:basedOn w:val="Fuentedeprrafopredeter"/>
    <w:link w:val="Piedepgina"/>
    <w:uiPriority w:val="99"/>
    <w:rsid w:val="00EA0F0F"/>
  </w:style>
  <w:style w:type="paragraph" w:styleId="Textodeglobo">
    <w:name w:val="Balloon Text"/>
    <w:basedOn w:val="Normal"/>
    <w:link w:val="TextodegloboCar"/>
    <w:uiPriority w:val="99"/>
    <w:semiHidden/>
    <w:unhideWhenUsed/>
    <w:rsid w:val="00EA0F0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0F0F"/>
    <w:rPr>
      <w:rFonts w:ascii="Lucida Grande" w:hAnsi="Lucida Grande" w:cs="Lucida Grande"/>
      <w:sz w:val="18"/>
      <w:szCs w:val="18"/>
    </w:rPr>
  </w:style>
  <w:style w:type="paragraph" w:styleId="Textonotapie">
    <w:name w:val="footnote text"/>
    <w:basedOn w:val="Normal"/>
    <w:link w:val="TextonotapieCar"/>
    <w:uiPriority w:val="99"/>
    <w:unhideWhenUsed/>
    <w:rsid w:val="00211CB7"/>
  </w:style>
  <w:style w:type="character" w:customStyle="1" w:styleId="TextonotapieCar">
    <w:name w:val="Texto nota pie Car"/>
    <w:basedOn w:val="Fuentedeprrafopredeter"/>
    <w:link w:val="Textonotapie"/>
    <w:uiPriority w:val="99"/>
    <w:rsid w:val="00211CB7"/>
  </w:style>
  <w:style w:type="character" w:styleId="Refdenotaalpie">
    <w:name w:val="footnote reference"/>
    <w:basedOn w:val="Fuentedeprrafopredeter"/>
    <w:uiPriority w:val="99"/>
    <w:unhideWhenUsed/>
    <w:rsid w:val="00211CB7"/>
    <w:rPr>
      <w:vertAlign w:val="superscript"/>
    </w:rPr>
  </w:style>
  <w:style w:type="paragraph" w:styleId="Revisin">
    <w:name w:val="Revision"/>
    <w:hidden/>
    <w:uiPriority w:val="99"/>
    <w:semiHidden/>
    <w:rsid w:val="00F86ADF"/>
  </w:style>
  <w:style w:type="character" w:styleId="Refdecomentario">
    <w:name w:val="annotation reference"/>
    <w:basedOn w:val="Fuentedeprrafopredeter"/>
    <w:uiPriority w:val="99"/>
    <w:semiHidden/>
    <w:unhideWhenUsed/>
    <w:rsid w:val="008E6A29"/>
    <w:rPr>
      <w:sz w:val="18"/>
      <w:szCs w:val="18"/>
    </w:rPr>
  </w:style>
  <w:style w:type="paragraph" w:styleId="Textocomentario">
    <w:name w:val="annotation text"/>
    <w:basedOn w:val="Normal"/>
    <w:link w:val="TextocomentarioCar"/>
    <w:uiPriority w:val="99"/>
    <w:semiHidden/>
    <w:unhideWhenUsed/>
    <w:rsid w:val="008E6A29"/>
  </w:style>
  <w:style w:type="character" w:customStyle="1" w:styleId="TextocomentarioCar">
    <w:name w:val="Texto comentario Car"/>
    <w:basedOn w:val="Fuentedeprrafopredeter"/>
    <w:link w:val="Textocomentario"/>
    <w:uiPriority w:val="99"/>
    <w:semiHidden/>
    <w:rsid w:val="008E6A29"/>
  </w:style>
  <w:style w:type="paragraph" w:styleId="Asuntodelcomentario">
    <w:name w:val="annotation subject"/>
    <w:basedOn w:val="Textocomentario"/>
    <w:next w:val="Textocomentario"/>
    <w:link w:val="AsuntodelcomentarioCar"/>
    <w:uiPriority w:val="99"/>
    <w:semiHidden/>
    <w:unhideWhenUsed/>
    <w:rsid w:val="008E6A29"/>
    <w:rPr>
      <w:b/>
      <w:bCs/>
      <w:sz w:val="20"/>
      <w:szCs w:val="20"/>
    </w:rPr>
  </w:style>
  <w:style w:type="character" w:customStyle="1" w:styleId="AsuntodelcomentarioCar">
    <w:name w:val="Asunto del comentario Car"/>
    <w:basedOn w:val="TextocomentarioCar"/>
    <w:link w:val="Asuntodelcomentario"/>
    <w:uiPriority w:val="99"/>
    <w:semiHidden/>
    <w:rsid w:val="008E6A29"/>
    <w:rPr>
      <w:b/>
      <w:bCs/>
      <w:sz w:val="20"/>
      <w:szCs w:val="20"/>
    </w:rPr>
  </w:style>
  <w:style w:type="character" w:styleId="Nmerodepgina">
    <w:name w:val="page number"/>
    <w:rsid w:val="0056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32580">
      <w:bodyDiv w:val="1"/>
      <w:marLeft w:val="0"/>
      <w:marRight w:val="0"/>
      <w:marTop w:val="0"/>
      <w:marBottom w:val="0"/>
      <w:divBdr>
        <w:top w:val="none" w:sz="0" w:space="0" w:color="auto"/>
        <w:left w:val="none" w:sz="0" w:space="0" w:color="auto"/>
        <w:bottom w:val="none" w:sz="0" w:space="0" w:color="auto"/>
        <w:right w:val="none" w:sz="0" w:space="0" w:color="auto"/>
      </w:divBdr>
      <w:divsChild>
        <w:div w:id="1665936294">
          <w:marLeft w:val="0"/>
          <w:marRight w:val="0"/>
          <w:marTop w:val="0"/>
          <w:marBottom w:val="0"/>
          <w:divBdr>
            <w:top w:val="none" w:sz="0" w:space="0" w:color="auto"/>
            <w:left w:val="none" w:sz="0" w:space="0" w:color="auto"/>
            <w:bottom w:val="none" w:sz="0" w:space="0" w:color="auto"/>
            <w:right w:val="none" w:sz="0" w:space="0" w:color="auto"/>
          </w:divBdr>
          <w:divsChild>
            <w:div w:id="10375877">
              <w:marLeft w:val="0"/>
              <w:marRight w:val="0"/>
              <w:marTop w:val="0"/>
              <w:marBottom w:val="0"/>
              <w:divBdr>
                <w:top w:val="none" w:sz="0" w:space="0" w:color="auto"/>
                <w:left w:val="none" w:sz="0" w:space="0" w:color="auto"/>
                <w:bottom w:val="none" w:sz="0" w:space="0" w:color="auto"/>
                <w:right w:val="none" w:sz="0" w:space="0" w:color="auto"/>
              </w:divBdr>
              <w:divsChild>
                <w:div w:id="1676345694">
                  <w:marLeft w:val="0"/>
                  <w:marRight w:val="0"/>
                  <w:marTop w:val="0"/>
                  <w:marBottom w:val="0"/>
                  <w:divBdr>
                    <w:top w:val="none" w:sz="0" w:space="0" w:color="auto"/>
                    <w:left w:val="none" w:sz="0" w:space="0" w:color="auto"/>
                    <w:bottom w:val="none" w:sz="0" w:space="0" w:color="auto"/>
                    <w:right w:val="none" w:sz="0" w:space="0" w:color="auto"/>
                  </w:divBdr>
                  <w:divsChild>
                    <w:div w:id="6262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6079">
      <w:bodyDiv w:val="1"/>
      <w:marLeft w:val="0"/>
      <w:marRight w:val="0"/>
      <w:marTop w:val="0"/>
      <w:marBottom w:val="0"/>
      <w:divBdr>
        <w:top w:val="none" w:sz="0" w:space="0" w:color="auto"/>
        <w:left w:val="none" w:sz="0" w:space="0" w:color="auto"/>
        <w:bottom w:val="none" w:sz="0" w:space="0" w:color="auto"/>
        <w:right w:val="none" w:sz="0" w:space="0" w:color="auto"/>
      </w:divBdr>
    </w:div>
    <w:div w:id="1437170960">
      <w:bodyDiv w:val="1"/>
      <w:marLeft w:val="0"/>
      <w:marRight w:val="0"/>
      <w:marTop w:val="0"/>
      <w:marBottom w:val="0"/>
      <w:divBdr>
        <w:top w:val="none" w:sz="0" w:space="0" w:color="auto"/>
        <w:left w:val="none" w:sz="0" w:space="0" w:color="auto"/>
        <w:bottom w:val="none" w:sz="0" w:space="0" w:color="auto"/>
        <w:right w:val="none" w:sz="0" w:space="0" w:color="auto"/>
      </w:divBdr>
      <w:divsChild>
        <w:div w:id="2063940714">
          <w:marLeft w:val="-115"/>
          <w:marRight w:val="0"/>
          <w:marTop w:val="0"/>
          <w:marBottom w:val="0"/>
          <w:divBdr>
            <w:top w:val="none" w:sz="0" w:space="0" w:color="auto"/>
            <w:left w:val="none" w:sz="0" w:space="0" w:color="auto"/>
            <w:bottom w:val="none" w:sz="0" w:space="0" w:color="auto"/>
            <w:right w:val="none" w:sz="0" w:space="0" w:color="auto"/>
          </w:divBdr>
        </w:div>
      </w:divsChild>
    </w:div>
    <w:div w:id="1774787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indsaynewlandbowker.wordpress.com/2015/12/12/samarco-dam-failure-largest-by-far-in-recorded-history/"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planalto.gov.br/ccivil_03/_Ato2007-2010/2010/Lei/L12334.htm" TargetMode="External"/><Relationship Id="rId11" Type="http://schemas.openxmlformats.org/officeDocument/2006/relationships/hyperlink" Target="http://www.carnavalesco.com.br/noticia/portela-emociona-com-alegoria-que-retrata-tragedia-de-mariana/47473" TargetMode="External"/><Relationship Id="rId12" Type="http://schemas.openxmlformats.org/officeDocument/2006/relationships/hyperlink" Target="http://conflitosambientaismg.lcc.ufmg.br/wp-content/uploads/2017/02/GESTA-UFMG-Parecer-sobre-Cadastro-Integrado-do-PLCI-Samarco-Synergia.pdf" TargetMode="External"/><Relationship Id="rId13" Type="http://schemas.openxmlformats.org/officeDocument/2006/relationships/hyperlink" Target="http://portal.mec.gov.br/index.php?option=com_docman&amp;view=download&amp;alias=14243-rces002-13&amp;category_slug=setembro-2013-pdf&amp;Itemid=30192" TargetMode="External"/><Relationship Id="rId14" Type="http://schemas.openxmlformats.org/officeDocument/2006/relationships/hyperlink" Target="http://www.samarco.com/wp-content/uploads/2016/11/Dossiee_um-ano_03-11_v4.pdf" TargetMode="External"/><Relationship Id="rId15" Type="http://schemas.openxmlformats.org/officeDocument/2006/relationships/hyperlink" Target="http://saladeimprensa.vale.com/PublishingImages/Arquivos_links/Conhe%C3%A7a%20a%20Vale_v2%20(2).pdf"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abialima@ufmg.br" TargetMode="External"/><Relationship Id="rId8" Type="http://schemas.openxmlformats.org/officeDocument/2006/relationships/hyperlink" Target="http://www3.snirh.gov.br/portal/snirh/centrais-de-conteudos/conjuntura-dos-recursos-hidricos/encarteriodoce_22_03_2016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2DAD11-5002-4845-B7F7-4DFC2F09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6324</Words>
  <Characters>34784</Characters>
  <Application>Microsoft Macintosh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Fábia Lima</dc:creator>
  <cp:keywords/>
  <dc:description/>
  <cp:lastModifiedBy>Usuario de Microsoft Office</cp:lastModifiedBy>
  <cp:revision>17</cp:revision>
  <dcterms:created xsi:type="dcterms:W3CDTF">2017-06-27T17:23:00Z</dcterms:created>
  <dcterms:modified xsi:type="dcterms:W3CDTF">2017-06-28T14:02:00Z</dcterms:modified>
</cp:coreProperties>
</file>